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907"/>
        <w:gridCol w:w="3147"/>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
            </w:pPr>
            <w:r>
              <w:t>Copley Academy</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8448B">
            <w:pPr>
              <w:pStyle w:val="TableRow"/>
            </w:pPr>
            <w:r>
              <w:t>666</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76220" w:rsidP="00D8448B">
            <w:pPr>
              <w:pStyle w:val="TableRow"/>
              <w:ind w:left="0"/>
            </w:pPr>
            <w:r>
              <w:t>46</w:t>
            </w:r>
            <w:r w:rsidR="00D8448B">
              <w:t>%</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A96" w:rsidRDefault="009D4A96">
            <w:pPr>
              <w:pStyle w:val="TableRow"/>
            </w:pPr>
            <w:r>
              <w:t>2020/21</w:t>
            </w:r>
          </w:p>
          <w:p w:rsidR="009D4A96" w:rsidRDefault="009D4A96">
            <w:pPr>
              <w:pStyle w:val="TableRow"/>
            </w:pPr>
            <w:r>
              <w:t>2021/22</w:t>
            </w:r>
          </w:p>
          <w:p w:rsidR="009D4A96" w:rsidRDefault="009D4A96">
            <w:pPr>
              <w:pStyle w:val="TableRow"/>
            </w:pPr>
            <w:r>
              <w:t>2022/23</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
            </w:pPr>
            <w:r>
              <w:t>Updated Autumn 21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
            </w:pPr>
            <w:r>
              <w:t>Dec 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
            </w:pPr>
            <w:r>
              <w:t>Ruth Craven</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
            </w:pPr>
            <w:r>
              <w:t>John Connolly</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
            </w:pPr>
            <w:r w:rsidRPr="009D4A96">
              <w:t xml:space="preserve">Josh Pritchard </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10060" w:type="dxa"/>
        <w:tblCellMar>
          <w:left w:w="10" w:type="dxa"/>
          <w:right w:w="10" w:type="dxa"/>
        </w:tblCellMar>
        <w:tblLook w:val="04A0" w:firstRow="1" w:lastRow="0" w:firstColumn="1" w:lastColumn="0" w:noHBand="0" w:noVBand="1"/>
      </w:tblPr>
      <w:tblGrid>
        <w:gridCol w:w="6941"/>
        <w:gridCol w:w="3119"/>
      </w:tblGrid>
      <w:tr w:rsidR="00E66558" w:rsidTr="00027DAD">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rsidTr="00027DAD">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924" w:rsidRPr="00420415" w:rsidRDefault="00F34BAC" w:rsidP="00420415">
            <w:pPr>
              <w:pStyle w:val="TableRow"/>
              <w:ind w:left="0"/>
            </w:pPr>
            <w:r>
              <w:t>£277,905</w:t>
            </w:r>
          </w:p>
        </w:tc>
      </w:tr>
      <w:tr w:rsidR="00E66558" w:rsidTr="00027DAD">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27DAD" w:rsidRDefault="00F34BAC" w:rsidP="00420415">
            <w:pPr>
              <w:pStyle w:val="TableRow"/>
              <w:ind w:left="0"/>
              <w:rPr>
                <w:highlight w:val="yellow"/>
              </w:rPr>
            </w:pPr>
            <w:r>
              <w:t xml:space="preserve">£42,195 </w:t>
            </w:r>
          </w:p>
        </w:tc>
      </w:tr>
      <w:tr w:rsidR="00E66558" w:rsidTr="00027DAD">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27DAD" w:rsidRDefault="009D71E8">
            <w:pPr>
              <w:pStyle w:val="TableRow"/>
              <w:rPr>
                <w:highlight w:val="yellow"/>
              </w:rPr>
            </w:pPr>
            <w:r w:rsidRPr="00027DAD">
              <w:t>£</w:t>
            </w:r>
            <w:r w:rsidR="00F34BAC">
              <w:t xml:space="preserve"> 0.00</w:t>
            </w:r>
          </w:p>
        </w:tc>
      </w:tr>
      <w:tr w:rsidR="00E66558" w:rsidTr="00027DAD">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154" w:rsidRPr="00420415" w:rsidRDefault="00420415" w:rsidP="00420415">
            <w:pPr>
              <w:pStyle w:val="TableRow"/>
              <w:ind w:left="0"/>
            </w:pPr>
            <w:r>
              <w:t>£320,100</w:t>
            </w:r>
          </w:p>
        </w:tc>
      </w:tr>
    </w:tbl>
    <w:p w:rsidR="00E66558" w:rsidRDefault="009D71E8">
      <w:pPr>
        <w:pStyle w:val="Heading1"/>
      </w:pPr>
      <w:r>
        <w:lastRenderedPageBreak/>
        <w:t>Part A: Pupil premium strategy plan</w:t>
      </w:r>
    </w:p>
    <w:p w:rsidR="00E66558" w:rsidRDefault="009D71E8">
      <w:pPr>
        <w:pStyle w:val="Heading2"/>
      </w:pPr>
      <w:bookmarkStart w:id="15" w:name="_Toc357771640"/>
      <w:bookmarkStart w:id="16" w:name="_Toc346793418"/>
      <w:r>
        <w:t>Statement of intent</w:t>
      </w:r>
    </w:p>
    <w:tbl>
      <w:tblPr>
        <w:tblW w:w="10060" w:type="dxa"/>
        <w:tblCellMar>
          <w:left w:w="10" w:type="dxa"/>
          <w:right w:w="10" w:type="dxa"/>
        </w:tblCellMar>
        <w:tblLook w:val="04A0" w:firstRow="1" w:lastRow="0" w:firstColumn="1" w:lastColumn="0" w:noHBand="0" w:noVBand="1"/>
      </w:tblPr>
      <w:tblGrid>
        <w:gridCol w:w="10060"/>
      </w:tblGrid>
      <w:tr w:rsidR="00E66558" w:rsidTr="00027DAD">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CFE" w:rsidRDefault="001F4CFE" w:rsidP="001F4CFE">
            <w:pPr>
              <w:rPr>
                <w:b/>
                <w:sz w:val="18"/>
                <w:szCs w:val="20"/>
              </w:rPr>
            </w:pPr>
            <w:r>
              <w:rPr>
                <w:b/>
                <w:sz w:val="18"/>
                <w:szCs w:val="20"/>
              </w:rPr>
              <w:t>2021-2022 Statement of intent</w:t>
            </w:r>
          </w:p>
          <w:p w:rsidR="00A75708" w:rsidRPr="00A50F03" w:rsidRDefault="00A75708" w:rsidP="00A75708">
            <w:pPr>
              <w:spacing w:before="120"/>
              <w:rPr>
                <w:rFonts w:cs="Arial"/>
                <w:iCs/>
                <w:color w:val="auto"/>
              </w:rPr>
            </w:pPr>
            <w:r w:rsidRPr="00A50F03">
              <w:rPr>
                <w:rFonts w:cs="Arial"/>
                <w:iCs/>
                <w:color w:val="auto"/>
              </w:rPr>
              <w:t xml:space="preserve">Our intention is that all pupils, irrespective of their background or the challenges they face, make good progress and achieve high attainment across the curriculum.  </w:t>
            </w:r>
          </w:p>
          <w:p w:rsidR="00A75708" w:rsidRPr="00A50F03" w:rsidRDefault="00A75708" w:rsidP="00A75708">
            <w:pPr>
              <w:rPr>
                <w:rFonts w:cs="Arial"/>
                <w:iCs/>
                <w:color w:val="auto"/>
                <w:lang w:val="en-US"/>
              </w:rPr>
            </w:pPr>
            <w:r w:rsidRPr="00A50F03">
              <w:rPr>
                <w:rFonts w:cs="Arial"/>
                <w:iCs/>
                <w:color w:val="auto"/>
                <w:lang w:val="en-US"/>
              </w:rPr>
              <w:t>The focus of our pupil premium strategy is to support disadvantaged pupils to achieve that goal, including progress for those who are already high attainers. We will consider the challenges fa</w:t>
            </w:r>
            <w:r>
              <w:rPr>
                <w:rFonts w:cs="Arial"/>
                <w:iCs/>
                <w:color w:val="auto"/>
                <w:lang w:val="en-US"/>
              </w:rPr>
              <w:t xml:space="preserve">ced by vulnerable pupils and plan overcome these </w:t>
            </w:r>
            <w:r w:rsidR="00420415">
              <w:rPr>
                <w:rFonts w:cs="Arial"/>
                <w:iCs/>
                <w:color w:val="auto"/>
                <w:lang w:val="en-US"/>
              </w:rPr>
              <w:t>obstacles</w:t>
            </w:r>
            <w:r>
              <w:rPr>
                <w:rFonts w:cs="Arial"/>
                <w:iCs/>
                <w:color w:val="auto"/>
                <w:lang w:val="en-US"/>
              </w:rPr>
              <w:t>.</w:t>
            </w:r>
          </w:p>
          <w:p w:rsidR="00A75708" w:rsidRPr="00A50F03" w:rsidRDefault="00A75708" w:rsidP="00A75708">
            <w:pPr>
              <w:rPr>
                <w:iCs/>
                <w:color w:val="auto"/>
                <w:lang w:val="en-US"/>
              </w:rPr>
            </w:pPr>
            <w:r w:rsidRPr="00A50F03">
              <w:rPr>
                <w:rFonts w:cs="Arial"/>
                <w:iCs/>
                <w:color w:val="auto"/>
                <w:lang w:val="en-US"/>
              </w:rPr>
              <w:t>High-quality teaching is at the heart of our approach, with a focus on areas in which disadvantaged pupils require the most support. This is proven to have the greatest impact on closing the disadvantage attainment gap</w:t>
            </w:r>
            <w:r w:rsidR="00420415">
              <w:rPr>
                <w:rFonts w:cs="Arial"/>
                <w:iCs/>
                <w:color w:val="auto"/>
                <w:lang w:val="en-US"/>
              </w:rPr>
              <w:t>, as referenced by the EEF,</w:t>
            </w:r>
            <w:r w:rsidRPr="00A50F03">
              <w:rPr>
                <w:rFonts w:cs="Arial"/>
                <w:iCs/>
                <w:color w:val="auto"/>
                <w:lang w:val="en-US"/>
              </w:rPr>
              <w:t xml:space="preserve"> and at the same time will benefit the non-disadvantaged pupils in our school. </w:t>
            </w:r>
            <w:r w:rsidRPr="00A50F03">
              <w:rPr>
                <w:iCs/>
                <w:color w:val="auto"/>
                <w:lang w:val="en-US"/>
              </w:rPr>
              <w:t>Implicit in the intended outcomes detailed below, is the intention that non-disadvantaged pupils’ attainment will be sustained and improved alongside progress for their disadvantaged peers.</w:t>
            </w:r>
          </w:p>
          <w:p w:rsidR="00A75708" w:rsidRPr="00A50F03" w:rsidRDefault="00A75708" w:rsidP="00A75708">
            <w:pPr>
              <w:spacing w:after="120"/>
              <w:rPr>
                <w:rFonts w:cs="Arial"/>
                <w:iCs/>
                <w:color w:val="auto"/>
                <w:lang w:val="en-US"/>
              </w:rPr>
            </w:pPr>
            <w:r w:rsidRPr="00A50F03">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A75708" w:rsidRPr="009F7D70" w:rsidRDefault="00A75708" w:rsidP="009F7D70">
            <w:pPr>
              <w:pStyle w:val="ListParagraph"/>
              <w:numPr>
                <w:ilvl w:val="0"/>
                <w:numId w:val="26"/>
              </w:numPr>
              <w:suppressAutoHyphens w:val="0"/>
              <w:autoSpaceDN/>
              <w:rPr>
                <w:rFonts w:cs="Arial"/>
                <w:iCs/>
                <w:color w:val="auto"/>
                <w:lang w:val="en-US"/>
              </w:rPr>
            </w:pPr>
            <w:r w:rsidRPr="009F7D70">
              <w:rPr>
                <w:rFonts w:cs="Arial"/>
                <w:iCs/>
                <w:color w:val="auto"/>
                <w:lang w:val="en-US"/>
              </w:rPr>
              <w:t>ensure disadvantaged pupils are challenged in the work that they’re set</w:t>
            </w:r>
          </w:p>
          <w:p w:rsidR="00A75708" w:rsidRPr="009F7D70" w:rsidRDefault="00A75708" w:rsidP="009F7D70">
            <w:pPr>
              <w:pStyle w:val="ListParagraph"/>
              <w:numPr>
                <w:ilvl w:val="0"/>
                <w:numId w:val="26"/>
              </w:numPr>
              <w:suppressAutoHyphens w:val="0"/>
              <w:autoSpaceDN/>
              <w:rPr>
                <w:rFonts w:cs="Arial"/>
                <w:iCs/>
                <w:color w:val="auto"/>
                <w:lang w:val="en-US"/>
              </w:rPr>
            </w:pPr>
            <w:r w:rsidRPr="009F7D70">
              <w:rPr>
                <w:rFonts w:cs="Arial"/>
                <w:color w:val="auto"/>
              </w:rPr>
              <w:t>act early to intervene at the point need is identified</w:t>
            </w:r>
          </w:p>
          <w:p w:rsidR="00A75708" w:rsidRPr="009F7D70" w:rsidRDefault="00A75708" w:rsidP="001F4CFE">
            <w:pPr>
              <w:pStyle w:val="ListParagraph"/>
              <w:numPr>
                <w:ilvl w:val="0"/>
                <w:numId w:val="26"/>
              </w:numPr>
              <w:rPr>
                <w:rFonts w:cs="Arial"/>
                <w:color w:val="0B0C0C"/>
                <w:shd w:val="clear" w:color="auto" w:fill="FFFFFF"/>
              </w:rPr>
            </w:pPr>
            <w:r w:rsidRPr="009F7D70">
              <w:rPr>
                <w:rFonts w:cs="Arial"/>
                <w:color w:val="auto"/>
              </w:rPr>
              <w:t>adopt a whole school approach in which all staff take responsibility for disadvantaged pupils’ outcomes and raise expectations of what they can achieve</w:t>
            </w:r>
          </w:p>
          <w:p w:rsidR="005F1E6D" w:rsidRPr="00420415" w:rsidRDefault="00953AC4" w:rsidP="001F4CFE">
            <w:r w:rsidRPr="00A75708">
              <w:rPr>
                <w:rFonts w:cs="Arial"/>
                <w:color w:val="0B0C0C"/>
                <w:shd w:val="clear" w:color="auto" w:fill="FFFFFF"/>
              </w:rPr>
              <w:t xml:space="preserve">The disproportionately high impact of COVID-19 on the education of disadvantaged pupils makes this plan more important than ever.  </w:t>
            </w:r>
            <w:r w:rsidR="001F4CFE" w:rsidRPr="00A75708">
              <w:t>National concerns about the gap between disadvantage</w:t>
            </w:r>
            <w:r w:rsidR="00420415">
              <w:t>d</w:t>
            </w:r>
            <w:r w:rsidR="001F4CFE" w:rsidRPr="00A75708">
              <w:t xml:space="preserve"> pupils and non-disadvantaged pupils growing is at the front of our minds and it is crucially important this growth is minimised as </w:t>
            </w:r>
            <w:r w:rsidR="00420415">
              <w:t xml:space="preserve">much as possible.  </w:t>
            </w:r>
            <w:r w:rsidR="001F4CFE" w:rsidRPr="00A75708">
              <w:t>Within this context it is therefore vital that we use our funding</w:t>
            </w:r>
            <w:r w:rsidR="009F7D70">
              <w:t xml:space="preserve"> wisely </w:t>
            </w:r>
            <w:r w:rsidR="001F4CFE" w:rsidRPr="00A75708">
              <w:t xml:space="preserve">to ensure these pupils are fully supported and given every opportunity to succeed. </w:t>
            </w:r>
            <w:r w:rsidR="00420415">
              <w:t>W</w:t>
            </w:r>
            <w:r w:rsidR="001F4CFE" w:rsidRPr="00A75708">
              <w:t>e have streamlined our strategy this year to three key t</w:t>
            </w:r>
            <w:r w:rsidR="009F7D70">
              <w:t>argets outline below</w:t>
            </w:r>
            <w:r w:rsidR="007469F1" w:rsidRPr="00A75708">
              <w:rPr>
                <w:color w:val="auto"/>
              </w:rPr>
              <w:t xml:space="preserve">. </w:t>
            </w:r>
            <w:r w:rsidR="00420415">
              <w:rPr>
                <w:color w:val="auto"/>
              </w:rPr>
              <w:t xml:space="preserve"> </w:t>
            </w:r>
            <w:r w:rsidR="007469F1" w:rsidRPr="00A75708">
              <w:rPr>
                <w:color w:val="auto"/>
              </w:rPr>
              <w:t>We believe these three</w:t>
            </w:r>
            <w:r w:rsidR="005F1E6D" w:rsidRPr="00A75708">
              <w:rPr>
                <w:color w:val="auto"/>
              </w:rPr>
              <w:t xml:space="preserve"> areas are key to success to mitigate recent challenges:</w:t>
            </w:r>
          </w:p>
          <w:p w:rsidR="009F7D70" w:rsidRPr="00A75708" w:rsidRDefault="001F4CFE" w:rsidP="001C296C">
            <w:pPr>
              <w:ind w:left="455" w:hanging="283"/>
              <w:rPr>
                <w:b/>
                <w:color w:val="auto"/>
              </w:rPr>
            </w:pPr>
            <w:r w:rsidRPr="00A75708">
              <w:rPr>
                <w:b/>
                <w:color w:val="auto"/>
              </w:rPr>
              <w:t>•</w:t>
            </w:r>
            <w:r w:rsidRPr="00A75708">
              <w:rPr>
                <w:b/>
                <w:color w:val="auto"/>
              </w:rPr>
              <w:tab/>
              <w:t>Ta</w:t>
            </w:r>
            <w:r w:rsidR="00CB02FC" w:rsidRPr="00A75708">
              <w:rPr>
                <w:b/>
                <w:color w:val="auto"/>
              </w:rPr>
              <w:t>rget 1 – To ensure PP</w:t>
            </w:r>
            <w:r w:rsidRPr="00A75708">
              <w:rPr>
                <w:b/>
                <w:color w:val="auto"/>
              </w:rPr>
              <w:t xml:space="preserve"> pupils are provided with high quality teachin</w:t>
            </w:r>
            <w:r w:rsidR="00363884" w:rsidRPr="00A75708">
              <w:rPr>
                <w:b/>
                <w:color w:val="auto"/>
              </w:rPr>
              <w:t>g that maximises their potential</w:t>
            </w:r>
            <w:r w:rsidRPr="00A75708">
              <w:rPr>
                <w:b/>
                <w:color w:val="auto"/>
              </w:rPr>
              <w:t>.</w:t>
            </w:r>
          </w:p>
          <w:p w:rsidR="001F4CFE" w:rsidRPr="00A75708" w:rsidRDefault="001F4CFE" w:rsidP="00CB02FC">
            <w:pPr>
              <w:ind w:left="455" w:hanging="283"/>
              <w:rPr>
                <w:b/>
                <w:color w:val="auto"/>
              </w:rPr>
            </w:pPr>
            <w:r w:rsidRPr="00A75708">
              <w:rPr>
                <w:b/>
                <w:color w:val="auto"/>
              </w:rPr>
              <w:t>•</w:t>
            </w:r>
            <w:r w:rsidRPr="00A75708">
              <w:rPr>
                <w:b/>
                <w:color w:val="auto"/>
              </w:rPr>
              <w:tab/>
              <w:t>T</w:t>
            </w:r>
            <w:r w:rsidR="00CB02FC" w:rsidRPr="00A75708">
              <w:rPr>
                <w:b/>
                <w:color w:val="auto"/>
              </w:rPr>
              <w:t>arget 2 – To ensure PP</w:t>
            </w:r>
            <w:r w:rsidR="00363884" w:rsidRPr="00A75708">
              <w:rPr>
                <w:b/>
                <w:color w:val="auto"/>
              </w:rPr>
              <w:t xml:space="preserve"> pupils are provided with high quality intervention to close gaps in learning, exacerbated by Covid-19. </w:t>
            </w:r>
          </w:p>
          <w:p w:rsidR="00E66558" w:rsidRPr="005F1E6D" w:rsidRDefault="001F4CFE" w:rsidP="00CB02FC">
            <w:pPr>
              <w:ind w:left="455" w:hanging="283"/>
              <w:rPr>
                <w:sz w:val="18"/>
                <w:szCs w:val="18"/>
              </w:rPr>
            </w:pPr>
            <w:r w:rsidRPr="00A75708">
              <w:rPr>
                <w:b/>
                <w:color w:val="auto"/>
              </w:rPr>
              <w:lastRenderedPageBreak/>
              <w:t>•</w:t>
            </w:r>
            <w:r w:rsidRPr="00A75708">
              <w:rPr>
                <w:b/>
                <w:color w:val="auto"/>
              </w:rPr>
              <w:tab/>
              <w:t>Target 3 – To ensure PP attendance is equa</w:t>
            </w:r>
            <w:r w:rsidR="007469F1" w:rsidRPr="00A75708">
              <w:rPr>
                <w:b/>
                <w:color w:val="auto"/>
              </w:rPr>
              <w:t>l to or above non-PP during 2021/22</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577"/>
      </w:tblGrid>
      <w:tr w:rsidR="00E66558" w:rsidRPr="00FC7051" w:rsidTr="00A95D19">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C7051" w:rsidRDefault="009D71E8">
            <w:pPr>
              <w:pStyle w:val="TableHeader"/>
              <w:jc w:val="left"/>
            </w:pPr>
            <w:r w:rsidRPr="00FC7051">
              <w:t>Challenge number</w:t>
            </w:r>
          </w:p>
        </w:tc>
        <w:tc>
          <w:tcPr>
            <w:tcW w:w="85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FC7051" w:rsidRDefault="009D71E8">
            <w:pPr>
              <w:pStyle w:val="TableHeader"/>
              <w:jc w:val="left"/>
            </w:pPr>
            <w:r w:rsidRPr="00FC7051">
              <w:t xml:space="preserve">Detail of challenge </w:t>
            </w:r>
          </w:p>
        </w:tc>
      </w:tr>
      <w:tr w:rsidR="00E66558" w:rsidRPr="00FC7051" w:rsidTr="00A95D1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C7051" w:rsidRDefault="009D71E8">
            <w:pPr>
              <w:pStyle w:val="TableRow"/>
            </w:pPr>
            <w:r w:rsidRPr="00FC7051">
              <w:t>1</w:t>
            </w:r>
          </w:p>
        </w:tc>
        <w:tc>
          <w:tcPr>
            <w:tcW w:w="8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C7051" w:rsidRDefault="00332E36" w:rsidP="005F1E6D">
            <w:pPr>
              <w:pStyle w:val="TableRowCentered"/>
              <w:ind w:left="0"/>
              <w:jc w:val="left"/>
              <w:rPr>
                <w:szCs w:val="24"/>
              </w:rPr>
            </w:pPr>
            <w:r>
              <w:rPr>
                <w:rFonts w:cs="Arial"/>
                <w:color w:val="0B0C0C"/>
                <w:szCs w:val="24"/>
                <w:shd w:val="clear" w:color="auto" w:fill="FFFFFF"/>
              </w:rPr>
              <w:t>Curriculum gaps in knowledge due</w:t>
            </w:r>
            <w:r w:rsidR="00116D21" w:rsidRPr="00FC7051">
              <w:rPr>
                <w:rFonts w:cs="Arial"/>
                <w:color w:val="0B0C0C"/>
                <w:szCs w:val="24"/>
                <w:shd w:val="clear" w:color="auto" w:fill="FFFFFF"/>
              </w:rPr>
              <w:t xml:space="preserve"> </w:t>
            </w:r>
            <w:r>
              <w:rPr>
                <w:rFonts w:cs="Arial"/>
                <w:color w:val="0B0C0C"/>
                <w:szCs w:val="24"/>
                <w:shd w:val="clear" w:color="auto" w:fill="FFFFFF"/>
              </w:rPr>
              <w:t>to lockdowns, specifically in English and maths.</w:t>
            </w:r>
          </w:p>
        </w:tc>
      </w:tr>
      <w:tr w:rsidR="00116D21" w:rsidRPr="00FC7051" w:rsidTr="00A95D1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116D21">
            <w:pPr>
              <w:pStyle w:val="TableRow"/>
            </w:pPr>
            <w:r w:rsidRPr="00FC7051">
              <w:t>2</w:t>
            </w:r>
          </w:p>
        </w:tc>
        <w:tc>
          <w:tcPr>
            <w:tcW w:w="8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420415">
            <w:pPr>
              <w:pStyle w:val="TableRowCentered"/>
              <w:ind w:left="0"/>
              <w:jc w:val="left"/>
              <w:rPr>
                <w:szCs w:val="24"/>
              </w:rPr>
            </w:pPr>
            <w:r w:rsidRPr="00FC7051">
              <w:rPr>
                <w:iCs/>
                <w:szCs w:val="24"/>
              </w:rPr>
              <w:t>Poor attendance and punctuality</w:t>
            </w:r>
            <w:r w:rsidR="00FC7051">
              <w:rPr>
                <w:iCs/>
                <w:szCs w:val="24"/>
              </w:rPr>
              <w:t xml:space="preserve"> </w:t>
            </w:r>
          </w:p>
        </w:tc>
      </w:tr>
      <w:tr w:rsidR="00116D21" w:rsidRPr="00FC7051" w:rsidTr="00A95D1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116D21">
            <w:pPr>
              <w:pStyle w:val="TableRow"/>
            </w:pPr>
            <w:r w:rsidRPr="00FC7051">
              <w:t>3</w:t>
            </w:r>
          </w:p>
        </w:tc>
        <w:tc>
          <w:tcPr>
            <w:tcW w:w="8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116D21">
            <w:pPr>
              <w:pStyle w:val="TableRowCentered"/>
              <w:tabs>
                <w:tab w:val="left" w:pos="1069"/>
              </w:tabs>
              <w:ind w:left="0"/>
              <w:jc w:val="left"/>
              <w:rPr>
                <w:szCs w:val="24"/>
              </w:rPr>
            </w:pPr>
            <w:r w:rsidRPr="00FC7051">
              <w:rPr>
                <w:szCs w:val="24"/>
              </w:rPr>
              <w:t>Experiencing complex family issues</w:t>
            </w:r>
          </w:p>
        </w:tc>
      </w:tr>
      <w:tr w:rsidR="00116D21" w:rsidRPr="00FC7051" w:rsidTr="00A95D1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116D21">
            <w:pPr>
              <w:pStyle w:val="TableRow"/>
            </w:pPr>
            <w:r w:rsidRPr="00FC7051">
              <w:t>4</w:t>
            </w:r>
          </w:p>
        </w:tc>
        <w:tc>
          <w:tcPr>
            <w:tcW w:w="8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9F6DB0">
            <w:pPr>
              <w:suppressAutoHyphens w:val="0"/>
              <w:autoSpaceDN/>
              <w:spacing w:after="0" w:line="240" w:lineRule="auto"/>
              <w:rPr>
                <w:iCs/>
              </w:rPr>
            </w:pPr>
            <w:r w:rsidRPr="00FC7051">
              <w:t>Poor emotional</w:t>
            </w:r>
            <w:r w:rsidR="009F6DB0">
              <w:t xml:space="preserve"> state, well-being and low self-</w:t>
            </w:r>
            <w:r w:rsidRPr="00FC7051">
              <w:t>esteem</w:t>
            </w:r>
            <w:r w:rsidR="009F6DB0">
              <w:t xml:space="preserve"> </w:t>
            </w:r>
            <w:r w:rsidR="00FC7051">
              <w:t xml:space="preserve"> </w:t>
            </w:r>
          </w:p>
        </w:tc>
      </w:tr>
      <w:tr w:rsidR="00116D21" w:rsidRPr="00FC7051" w:rsidTr="00A95D1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116D21">
            <w:pPr>
              <w:pStyle w:val="TableRow"/>
            </w:pPr>
            <w:r w:rsidRPr="00FC7051">
              <w:t>5</w:t>
            </w:r>
          </w:p>
        </w:tc>
        <w:tc>
          <w:tcPr>
            <w:tcW w:w="8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21" w:rsidRPr="00FC7051" w:rsidRDefault="00116D21" w:rsidP="00116D21">
            <w:pPr>
              <w:pStyle w:val="TableRowCentered"/>
              <w:ind w:left="0"/>
              <w:jc w:val="left"/>
              <w:rPr>
                <w:iCs/>
                <w:szCs w:val="24"/>
              </w:rPr>
            </w:pPr>
            <w:r w:rsidRPr="00FC7051">
              <w:rPr>
                <w:iCs/>
                <w:szCs w:val="24"/>
              </w:rPr>
              <w:t>Lacking adequate resources to study effectively, especially IT facilities if isolating</w:t>
            </w:r>
          </w:p>
        </w:tc>
      </w:tr>
      <w:tr w:rsidR="00FC7051" w:rsidRPr="00FC7051" w:rsidTr="00A95D1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051" w:rsidRPr="00FC7051" w:rsidRDefault="00FC7051" w:rsidP="00116D21">
            <w:pPr>
              <w:pStyle w:val="TableRow"/>
            </w:pPr>
            <w:r>
              <w:t>6</w:t>
            </w:r>
          </w:p>
        </w:tc>
        <w:tc>
          <w:tcPr>
            <w:tcW w:w="8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051" w:rsidRPr="00FC7051" w:rsidRDefault="00332E36" w:rsidP="00FC7051">
            <w:pPr>
              <w:pStyle w:val="TableRowCentered"/>
              <w:ind w:left="0"/>
              <w:jc w:val="left"/>
              <w:rPr>
                <w:iCs/>
                <w:szCs w:val="24"/>
              </w:rPr>
            </w:pPr>
            <w:r>
              <w:rPr>
                <w:iCs/>
                <w:color w:val="auto"/>
                <w:szCs w:val="24"/>
              </w:rPr>
              <w:t>L</w:t>
            </w:r>
            <w:r w:rsidR="00FC7051" w:rsidRPr="00FC7051">
              <w:rPr>
                <w:iCs/>
                <w:color w:val="auto"/>
                <w:szCs w:val="24"/>
              </w:rPr>
              <w:t xml:space="preserve">ack </w:t>
            </w:r>
            <w:r>
              <w:rPr>
                <w:iCs/>
                <w:color w:val="auto"/>
                <w:szCs w:val="24"/>
              </w:rPr>
              <w:t xml:space="preserve">of </w:t>
            </w:r>
            <w:r w:rsidR="00FC7051" w:rsidRPr="00FC7051">
              <w:rPr>
                <w:iCs/>
                <w:color w:val="auto"/>
                <w:szCs w:val="24"/>
              </w:rPr>
              <w:t>metacognitive / self-regulation strategies when faced with cha</w:t>
            </w:r>
            <w:r>
              <w:rPr>
                <w:iCs/>
                <w:color w:val="auto"/>
                <w:szCs w:val="24"/>
              </w:rPr>
              <w:t>llenging tasks, and lack of motivation to succeed</w:t>
            </w:r>
            <w:r w:rsidR="00FC7051">
              <w:rPr>
                <w:iCs/>
                <w:color w:val="auto"/>
                <w:szCs w:val="24"/>
              </w:rPr>
              <w:t xml:space="preserve"> </w:t>
            </w:r>
          </w:p>
        </w:tc>
      </w:tr>
    </w:tbl>
    <w:p w:rsidR="00E66558" w:rsidRDefault="009D71E8">
      <w:pPr>
        <w:pStyle w:val="Heading2"/>
        <w:spacing w:before="600"/>
      </w:pPr>
      <w:bookmarkStart w:id="17"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7082"/>
      </w:tblGrid>
      <w:tr w:rsidR="00E66558" w:rsidTr="001C296C">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70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1C296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C296C" w:rsidRDefault="00FC1811" w:rsidP="00621BD3">
            <w:pPr>
              <w:pStyle w:val="TableRow"/>
              <w:ind w:left="0"/>
              <w:rPr>
                <w:sz w:val="22"/>
                <w:szCs w:val="22"/>
              </w:rPr>
            </w:pPr>
            <w:r w:rsidRPr="001C296C">
              <w:rPr>
                <w:iCs/>
                <w:sz w:val="22"/>
                <w:szCs w:val="22"/>
              </w:rPr>
              <w:t xml:space="preserve">To </w:t>
            </w:r>
            <w:r w:rsidR="001C296C" w:rsidRPr="001C296C">
              <w:rPr>
                <w:iCs/>
                <w:sz w:val="22"/>
                <w:szCs w:val="22"/>
              </w:rPr>
              <w:t>d</w:t>
            </w:r>
            <w:r w:rsidR="001C296C" w:rsidRPr="001C296C">
              <w:rPr>
                <w:sz w:val="22"/>
                <w:szCs w:val="22"/>
              </w:rPr>
              <w:t>iminish the progress gap between</w:t>
            </w:r>
            <w:r w:rsidR="001C296C" w:rsidRPr="001C296C">
              <w:rPr>
                <w:iCs/>
                <w:sz w:val="22"/>
                <w:szCs w:val="22"/>
              </w:rPr>
              <w:t xml:space="preserve"> </w:t>
            </w:r>
            <w:r w:rsidRPr="001C296C">
              <w:rPr>
                <w:iCs/>
                <w:sz w:val="22"/>
                <w:szCs w:val="22"/>
              </w:rPr>
              <w:t>PP and non-PP pupils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96C" w:rsidRPr="001C296C" w:rsidRDefault="001C296C" w:rsidP="001C296C">
            <w:pPr>
              <w:pStyle w:val="TableRowCentered"/>
              <w:jc w:val="left"/>
              <w:rPr>
                <w:sz w:val="22"/>
                <w:szCs w:val="22"/>
              </w:rPr>
            </w:pPr>
            <w:r>
              <w:rPr>
                <w:sz w:val="22"/>
                <w:szCs w:val="22"/>
              </w:rPr>
              <w:t xml:space="preserve">- </w:t>
            </w:r>
            <w:r w:rsidRPr="001C296C">
              <w:rPr>
                <w:sz w:val="22"/>
                <w:szCs w:val="22"/>
              </w:rPr>
              <w:t>P</w:t>
            </w:r>
            <w:r w:rsidR="006F100C">
              <w:rPr>
                <w:sz w:val="22"/>
                <w:szCs w:val="22"/>
              </w:rPr>
              <w:t>P progress scores</w:t>
            </w:r>
            <w:r w:rsidRPr="001C296C">
              <w:rPr>
                <w:sz w:val="22"/>
                <w:szCs w:val="22"/>
              </w:rPr>
              <w:t xml:space="preserve"> are in line with national</w:t>
            </w:r>
          </w:p>
          <w:p w:rsidR="001C296C" w:rsidRPr="001C296C" w:rsidRDefault="001C296C" w:rsidP="001C296C">
            <w:pPr>
              <w:pStyle w:val="TableRowCentered"/>
              <w:jc w:val="left"/>
              <w:rPr>
                <w:sz w:val="22"/>
                <w:szCs w:val="22"/>
              </w:rPr>
            </w:pPr>
            <w:r>
              <w:rPr>
                <w:sz w:val="22"/>
                <w:szCs w:val="22"/>
              </w:rPr>
              <w:t xml:space="preserve">- </w:t>
            </w:r>
            <w:r w:rsidRPr="001C296C">
              <w:rPr>
                <w:sz w:val="22"/>
                <w:szCs w:val="22"/>
              </w:rPr>
              <w:t>Diminish the in-school progress gap between PP and non-PP pupils</w:t>
            </w:r>
          </w:p>
          <w:p w:rsidR="00621BD3" w:rsidRPr="001C296C" w:rsidRDefault="001C296C" w:rsidP="001C296C">
            <w:pPr>
              <w:pStyle w:val="TableRowCentered"/>
              <w:jc w:val="left"/>
              <w:rPr>
                <w:sz w:val="22"/>
                <w:szCs w:val="22"/>
              </w:rPr>
            </w:pPr>
            <w:r>
              <w:rPr>
                <w:sz w:val="22"/>
                <w:szCs w:val="22"/>
              </w:rPr>
              <w:t xml:space="preserve">- </w:t>
            </w:r>
            <w:r w:rsidR="00621BD3" w:rsidRPr="001C296C">
              <w:rPr>
                <w:sz w:val="22"/>
                <w:szCs w:val="22"/>
              </w:rPr>
              <w:t xml:space="preserve">Improved attendance </w:t>
            </w:r>
            <w:r w:rsidR="00DF35BA" w:rsidRPr="001C296C">
              <w:rPr>
                <w:sz w:val="22"/>
                <w:szCs w:val="22"/>
              </w:rPr>
              <w:t>to interventions and P6 session</w:t>
            </w:r>
            <w:r w:rsidR="00DF35BA" w:rsidRPr="001C296C">
              <w:rPr>
                <w:color w:val="auto"/>
                <w:sz w:val="22"/>
                <w:szCs w:val="22"/>
              </w:rPr>
              <w:t>s in line with non-PP pupils</w:t>
            </w:r>
          </w:p>
        </w:tc>
      </w:tr>
      <w:tr w:rsidR="00E66558" w:rsidTr="001C296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21BD3">
            <w:pPr>
              <w:pStyle w:val="TableRow"/>
              <w:rPr>
                <w:sz w:val="22"/>
                <w:szCs w:val="22"/>
              </w:rPr>
            </w:pPr>
            <w:r>
              <w:rPr>
                <w:sz w:val="22"/>
                <w:szCs w:val="22"/>
              </w:rPr>
              <w:t>Improved attendance and punctuality for PP pupils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96C" w:rsidRPr="001C296C" w:rsidRDefault="001C296C" w:rsidP="001C296C">
            <w:pPr>
              <w:pStyle w:val="TableRowCentered"/>
              <w:jc w:val="left"/>
              <w:rPr>
                <w:sz w:val="22"/>
                <w:szCs w:val="22"/>
              </w:rPr>
            </w:pPr>
            <w:r>
              <w:rPr>
                <w:sz w:val="22"/>
                <w:szCs w:val="22"/>
              </w:rPr>
              <w:t xml:space="preserve">- </w:t>
            </w:r>
            <w:r w:rsidRPr="001C296C">
              <w:rPr>
                <w:sz w:val="22"/>
                <w:szCs w:val="22"/>
              </w:rPr>
              <w:t>Attendance</w:t>
            </w:r>
            <w:r w:rsidR="006F100C">
              <w:rPr>
                <w:sz w:val="22"/>
                <w:szCs w:val="22"/>
              </w:rPr>
              <w:t xml:space="preserve"> and punctuality</w:t>
            </w:r>
            <w:r w:rsidRPr="001C296C">
              <w:rPr>
                <w:sz w:val="22"/>
                <w:szCs w:val="22"/>
              </w:rPr>
              <w:t xml:space="preserve"> figures </w:t>
            </w:r>
            <w:r w:rsidR="006F100C">
              <w:rPr>
                <w:sz w:val="22"/>
                <w:szCs w:val="22"/>
              </w:rPr>
              <w:t xml:space="preserve">for PP pupils </w:t>
            </w:r>
            <w:r w:rsidRPr="001C296C">
              <w:rPr>
                <w:sz w:val="22"/>
                <w:szCs w:val="22"/>
              </w:rPr>
              <w:t>are in line with national</w:t>
            </w:r>
            <w:r w:rsidR="006F100C">
              <w:rPr>
                <w:sz w:val="22"/>
                <w:szCs w:val="22"/>
              </w:rPr>
              <w:t xml:space="preserve"> for all pupils.</w:t>
            </w:r>
          </w:p>
          <w:p w:rsidR="00E66558" w:rsidRPr="001C296C" w:rsidRDefault="001C296C" w:rsidP="001C296C">
            <w:pPr>
              <w:pStyle w:val="TableRowCentered"/>
              <w:jc w:val="left"/>
              <w:rPr>
                <w:sz w:val="22"/>
                <w:szCs w:val="22"/>
              </w:rPr>
            </w:pPr>
            <w:r>
              <w:rPr>
                <w:sz w:val="22"/>
                <w:szCs w:val="22"/>
              </w:rPr>
              <w:t xml:space="preserve">- </w:t>
            </w:r>
            <w:r w:rsidR="00621BD3" w:rsidRPr="001C296C">
              <w:rPr>
                <w:sz w:val="22"/>
                <w:szCs w:val="22"/>
              </w:rPr>
              <w:t xml:space="preserve">Improved PA figure for PP </w:t>
            </w:r>
            <w:r w:rsidR="006F100C">
              <w:rPr>
                <w:sz w:val="22"/>
                <w:szCs w:val="22"/>
              </w:rPr>
              <w:t>pupils and to be in line with national average PA figure</w:t>
            </w:r>
            <w:r w:rsidR="00853DB6" w:rsidRPr="001C296C">
              <w:rPr>
                <w:sz w:val="22"/>
                <w:szCs w:val="22"/>
              </w:rPr>
              <w:t>.</w:t>
            </w:r>
          </w:p>
          <w:p w:rsidR="00621BD3" w:rsidRPr="001C296C" w:rsidRDefault="001C296C" w:rsidP="001C296C">
            <w:pPr>
              <w:pStyle w:val="TableRowCentered"/>
              <w:jc w:val="left"/>
              <w:rPr>
                <w:sz w:val="22"/>
                <w:szCs w:val="22"/>
              </w:rPr>
            </w:pPr>
            <w:r>
              <w:rPr>
                <w:sz w:val="22"/>
                <w:szCs w:val="22"/>
              </w:rPr>
              <w:t xml:space="preserve">- </w:t>
            </w:r>
            <w:r w:rsidR="00621BD3" w:rsidRPr="001C296C">
              <w:rPr>
                <w:sz w:val="22"/>
                <w:szCs w:val="22"/>
              </w:rPr>
              <w:t>PP attendance in line with non-PP overall figure</w:t>
            </w:r>
          </w:p>
        </w:tc>
      </w:tr>
      <w:tr w:rsidR="00E66558" w:rsidTr="001C296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21BD3">
            <w:pPr>
              <w:pStyle w:val="TableRow"/>
              <w:rPr>
                <w:sz w:val="22"/>
                <w:szCs w:val="22"/>
              </w:rPr>
            </w:pPr>
            <w:r>
              <w:rPr>
                <w:sz w:val="22"/>
                <w:szCs w:val="22"/>
              </w:rPr>
              <w:t>Improved behaviour for PP pupils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96C" w:rsidRPr="001C296C" w:rsidRDefault="001C296C" w:rsidP="001C296C">
            <w:pPr>
              <w:pStyle w:val="TableRowCentered"/>
              <w:jc w:val="left"/>
              <w:rPr>
                <w:sz w:val="22"/>
                <w:szCs w:val="22"/>
              </w:rPr>
            </w:pPr>
            <w:r>
              <w:rPr>
                <w:sz w:val="22"/>
                <w:szCs w:val="22"/>
              </w:rPr>
              <w:t xml:space="preserve">- </w:t>
            </w:r>
            <w:r w:rsidRPr="001C296C">
              <w:rPr>
                <w:sz w:val="22"/>
                <w:szCs w:val="22"/>
              </w:rPr>
              <w:t xml:space="preserve">Number of behaviour points / corrections/ isolations for PP in line with non-PP </w:t>
            </w:r>
          </w:p>
          <w:p w:rsidR="001C296C" w:rsidRPr="001C296C" w:rsidRDefault="001C296C" w:rsidP="001C296C">
            <w:pPr>
              <w:pStyle w:val="TableRowCentered"/>
              <w:jc w:val="left"/>
              <w:rPr>
                <w:sz w:val="22"/>
                <w:szCs w:val="22"/>
              </w:rPr>
            </w:pPr>
            <w:r>
              <w:rPr>
                <w:sz w:val="22"/>
                <w:szCs w:val="22"/>
              </w:rPr>
              <w:t xml:space="preserve">- </w:t>
            </w:r>
            <w:r w:rsidRPr="001C296C">
              <w:rPr>
                <w:sz w:val="22"/>
                <w:szCs w:val="22"/>
              </w:rPr>
              <w:t xml:space="preserve">FTE reduced for PP and in line with non-PP </w:t>
            </w:r>
          </w:p>
          <w:p w:rsidR="00621BD3" w:rsidRPr="001C296C" w:rsidRDefault="001C296C" w:rsidP="001C296C">
            <w:pPr>
              <w:pStyle w:val="TableRowCentered"/>
              <w:jc w:val="left"/>
              <w:rPr>
                <w:sz w:val="22"/>
                <w:szCs w:val="22"/>
              </w:rPr>
            </w:pPr>
            <w:r>
              <w:rPr>
                <w:sz w:val="22"/>
                <w:szCs w:val="22"/>
              </w:rPr>
              <w:t xml:space="preserve">- </w:t>
            </w:r>
            <w:r w:rsidRPr="001C296C">
              <w:rPr>
                <w:sz w:val="22"/>
                <w:szCs w:val="22"/>
              </w:rPr>
              <w:t>Allocation of rewards for PP pupils in line with non-PP</w:t>
            </w:r>
          </w:p>
        </w:tc>
      </w:tr>
      <w:tr w:rsidR="00E66558" w:rsidTr="001C296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B71E4">
            <w:pPr>
              <w:pStyle w:val="TableRow"/>
              <w:rPr>
                <w:sz w:val="22"/>
                <w:szCs w:val="22"/>
              </w:rPr>
            </w:pPr>
            <w:r>
              <w:rPr>
                <w:sz w:val="22"/>
                <w:szCs w:val="22"/>
              </w:rPr>
              <w:t>Improved attitudes to learning for PP pupils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C296C" w:rsidP="001C296C">
            <w:pPr>
              <w:pStyle w:val="TableRowCentered"/>
              <w:jc w:val="left"/>
              <w:rPr>
                <w:sz w:val="22"/>
                <w:szCs w:val="22"/>
              </w:rPr>
            </w:pPr>
            <w:r>
              <w:rPr>
                <w:sz w:val="22"/>
                <w:szCs w:val="22"/>
              </w:rPr>
              <w:t xml:space="preserve">- </w:t>
            </w:r>
            <w:r w:rsidR="00DF35BA">
              <w:rPr>
                <w:sz w:val="22"/>
                <w:szCs w:val="22"/>
              </w:rPr>
              <w:t xml:space="preserve">Positive responses/trends from the </w:t>
            </w:r>
            <w:r>
              <w:rPr>
                <w:sz w:val="22"/>
                <w:szCs w:val="22"/>
              </w:rPr>
              <w:t>PASS</w:t>
            </w:r>
            <w:r w:rsidR="002B71E4">
              <w:rPr>
                <w:sz w:val="22"/>
                <w:szCs w:val="22"/>
              </w:rPr>
              <w:t xml:space="preserve"> survey for PP pupils</w:t>
            </w:r>
            <w:r w:rsidR="00D46E1D">
              <w:rPr>
                <w:sz w:val="22"/>
                <w:szCs w:val="22"/>
              </w:rPr>
              <w:t xml:space="preserve"> and that the attitudes to school are in line with those of non-PP pupils.</w:t>
            </w:r>
          </w:p>
        </w:tc>
      </w:tr>
      <w:tr w:rsidR="002B71E4" w:rsidTr="001C296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1E4" w:rsidRDefault="002B71E4" w:rsidP="002B71E4">
            <w:pPr>
              <w:pStyle w:val="TableRow"/>
              <w:rPr>
                <w:sz w:val="22"/>
                <w:szCs w:val="22"/>
              </w:rPr>
            </w:pPr>
            <w:r>
              <w:rPr>
                <w:sz w:val="22"/>
                <w:szCs w:val="22"/>
              </w:rPr>
              <w:t xml:space="preserve">Improved literacy for PP pupils </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1E4" w:rsidRDefault="001C296C" w:rsidP="001C296C">
            <w:pPr>
              <w:pStyle w:val="TableRowCentered"/>
              <w:jc w:val="left"/>
              <w:rPr>
                <w:sz w:val="22"/>
                <w:szCs w:val="22"/>
              </w:rPr>
            </w:pPr>
            <w:r>
              <w:rPr>
                <w:sz w:val="22"/>
                <w:szCs w:val="22"/>
              </w:rPr>
              <w:t xml:space="preserve">- </w:t>
            </w:r>
            <w:r w:rsidR="002B71E4">
              <w:rPr>
                <w:sz w:val="22"/>
                <w:szCs w:val="22"/>
              </w:rPr>
              <w:t>Staff implementing the whole-schoo</w:t>
            </w:r>
            <w:r w:rsidR="00853DB6">
              <w:rPr>
                <w:sz w:val="22"/>
                <w:szCs w:val="22"/>
              </w:rPr>
              <w:t>l literacy initiatives (disciplinary</w:t>
            </w:r>
            <w:r w:rsidR="002B71E4">
              <w:rPr>
                <w:sz w:val="22"/>
                <w:szCs w:val="22"/>
              </w:rPr>
              <w:t xml:space="preserve"> literacy)</w:t>
            </w:r>
          </w:p>
          <w:p w:rsidR="00DF35BA" w:rsidRDefault="001C296C" w:rsidP="001C296C">
            <w:pPr>
              <w:pStyle w:val="TableRowCentered"/>
              <w:jc w:val="left"/>
              <w:rPr>
                <w:sz w:val="22"/>
                <w:szCs w:val="22"/>
              </w:rPr>
            </w:pPr>
            <w:r>
              <w:rPr>
                <w:sz w:val="22"/>
                <w:szCs w:val="22"/>
              </w:rPr>
              <w:lastRenderedPageBreak/>
              <w:t xml:space="preserve">- </w:t>
            </w:r>
            <w:r w:rsidR="00144721">
              <w:rPr>
                <w:sz w:val="22"/>
                <w:szCs w:val="22"/>
              </w:rPr>
              <w:t xml:space="preserve">The percentage of PP pupils achieving their chronological reading age is in line with non-PP </w:t>
            </w:r>
          </w:p>
          <w:p w:rsidR="002B71E4" w:rsidRDefault="001C296C" w:rsidP="001C296C">
            <w:pPr>
              <w:pStyle w:val="TableRowCentered"/>
              <w:jc w:val="left"/>
              <w:rPr>
                <w:sz w:val="22"/>
                <w:szCs w:val="22"/>
              </w:rPr>
            </w:pPr>
            <w:r>
              <w:rPr>
                <w:sz w:val="22"/>
                <w:szCs w:val="22"/>
              </w:rPr>
              <w:t xml:space="preserve">- </w:t>
            </w:r>
            <w:r w:rsidR="00DF35BA">
              <w:rPr>
                <w:sz w:val="22"/>
                <w:szCs w:val="22"/>
              </w:rPr>
              <w:t>Diminish the gap between PP and non-PP in English</w:t>
            </w:r>
          </w:p>
          <w:p w:rsidR="00D46E1D" w:rsidRDefault="00D46E1D" w:rsidP="001C296C">
            <w:pPr>
              <w:pStyle w:val="TableRowCentered"/>
              <w:jc w:val="left"/>
              <w:rPr>
                <w:sz w:val="22"/>
                <w:szCs w:val="22"/>
              </w:rPr>
            </w:pPr>
            <w:r>
              <w:rPr>
                <w:sz w:val="22"/>
                <w:szCs w:val="22"/>
              </w:rPr>
              <w:t>- GL Assessment tests in English demonstrate that PP pupil progress is in line with Non-PP</w:t>
            </w:r>
          </w:p>
        </w:tc>
      </w:tr>
      <w:tr w:rsidR="002B71E4" w:rsidTr="001C296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1E4" w:rsidRDefault="002B71E4" w:rsidP="002B71E4">
            <w:pPr>
              <w:pStyle w:val="TableRow"/>
              <w:rPr>
                <w:sz w:val="22"/>
                <w:szCs w:val="22"/>
              </w:rPr>
            </w:pPr>
            <w:r>
              <w:rPr>
                <w:sz w:val="22"/>
                <w:szCs w:val="22"/>
              </w:rPr>
              <w:lastRenderedPageBreak/>
              <w:t>Improved numeracy for PP pupils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1E4" w:rsidRDefault="001C296C" w:rsidP="001C296C">
            <w:pPr>
              <w:pStyle w:val="TableRowCentered"/>
              <w:jc w:val="left"/>
              <w:rPr>
                <w:sz w:val="22"/>
                <w:szCs w:val="22"/>
              </w:rPr>
            </w:pPr>
            <w:r>
              <w:rPr>
                <w:sz w:val="22"/>
                <w:szCs w:val="22"/>
              </w:rPr>
              <w:t xml:space="preserve">- </w:t>
            </w:r>
            <w:r w:rsidR="002B71E4">
              <w:rPr>
                <w:sz w:val="22"/>
                <w:szCs w:val="22"/>
              </w:rPr>
              <w:t>Staff implementing the whole-school numeracy initiatives</w:t>
            </w:r>
          </w:p>
          <w:p w:rsidR="002B71E4" w:rsidRDefault="001C296C" w:rsidP="001C296C">
            <w:pPr>
              <w:pStyle w:val="TableRowCentered"/>
              <w:jc w:val="left"/>
              <w:rPr>
                <w:sz w:val="22"/>
                <w:szCs w:val="22"/>
              </w:rPr>
            </w:pPr>
            <w:r>
              <w:rPr>
                <w:sz w:val="22"/>
                <w:szCs w:val="22"/>
              </w:rPr>
              <w:t xml:space="preserve">- </w:t>
            </w:r>
            <w:r w:rsidR="00DF35BA">
              <w:rPr>
                <w:sz w:val="22"/>
                <w:szCs w:val="22"/>
              </w:rPr>
              <w:t>Diminish the gap between PP and non-PP pupils in Maths</w:t>
            </w:r>
          </w:p>
          <w:p w:rsidR="00D46E1D" w:rsidRDefault="00D46E1D" w:rsidP="001C296C">
            <w:pPr>
              <w:pStyle w:val="TableRowCentered"/>
              <w:jc w:val="left"/>
              <w:rPr>
                <w:sz w:val="22"/>
                <w:szCs w:val="22"/>
              </w:rPr>
            </w:pPr>
            <w:r>
              <w:rPr>
                <w:sz w:val="22"/>
                <w:szCs w:val="22"/>
              </w:rPr>
              <w:t>- GL Assessment tests in maths demonstrate that PP pupil progress is in line with Non-PP</w:t>
            </w:r>
          </w:p>
        </w:tc>
      </w:tr>
    </w:tbl>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C10E1A">
      <w:r>
        <w:t>Budgeted cost: £96,1</w:t>
      </w:r>
      <w:r w:rsidR="003E3483">
        <w:t>00</w:t>
      </w:r>
    </w:p>
    <w:tbl>
      <w:tblPr>
        <w:tblW w:w="5000" w:type="pct"/>
        <w:tblCellMar>
          <w:left w:w="10" w:type="dxa"/>
          <w:right w:w="10" w:type="dxa"/>
        </w:tblCellMar>
        <w:tblLook w:val="04A0" w:firstRow="1" w:lastRow="0" w:firstColumn="1" w:lastColumn="0" w:noHBand="0" w:noVBand="1"/>
      </w:tblPr>
      <w:tblGrid>
        <w:gridCol w:w="2690"/>
        <w:gridCol w:w="5837"/>
        <w:gridCol w:w="1527"/>
      </w:tblGrid>
      <w:tr w:rsidR="00E66558"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Activity</w:t>
            </w:r>
          </w:p>
        </w:tc>
        <w:tc>
          <w:tcPr>
            <w:tcW w:w="58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Evidence that supports this approach</w:t>
            </w:r>
          </w:p>
        </w:tc>
        <w:tc>
          <w:tcPr>
            <w:tcW w:w="15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Challenge number(s) addressed</w:t>
            </w:r>
          </w:p>
        </w:tc>
      </w:tr>
      <w:tr w:rsidR="00853DB6"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Default="009F6DB0" w:rsidP="00853DB6">
            <w:pPr>
              <w:pStyle w:val="TableRow"/>
              <w:ind w:left="0"/>
              <w:rPr>
                <w:sz w:val="22"/>
                <w:szCs w:val="22"/>
              </w:rPr>
            </w:pPr>
            <w:r>
              <w:rPr>
                <w:sz w:val="22"/>
                <w:szCs w:val="22"/>
              </w:rPr>
              <w:t>Improve ‘</w:t>
            </w:r>
            <w:r w:rsidRPr="009F6DB0">
              <w:rPr>
                <w:i/>
                <w:sz w:val="22"/>
                <w:szCs w:val="22"/>
              </w:rPr>
              <w:t>disciplinary l</w:t>
            </w:r>
            <w:r w:rsidR="00853DB6" w:rsidRPr="009F6DB0">
              <w:rPr>
                <w:i/>
                <w:sz w:val="22"/>
                <w:szCs w:val="22"/>
              </w:rPr>
              <w:t>iteracy</w:t>
            </w:r>
            <w:r w:rsidRPr="009F6DB0">
              <w:rPr>
                <w:i/>
                <w:sz w:val="22"/>
                <w:szCs w:val="22"/>
              </w:rPr>
              <w:t>’</w:t>
            </w:r>
            <w:r w:rsidR="00926DAB">
              <w:rPr>
                <w:sz w:val="22"/>
                <w:szCs w:val="22"/>
              </w:rPr>
              <w:t xml:space="preserve"> across all subjects.</w:t>
            </w:r>
          </w:p>
          <w:p w:rsidR="00926DAB" w:rsidRDefault="00926DAB" w:rsidP="00853DB6">
            <w:pPr>
              <w:pStyle w:val="TableRow"/>
              <w:ind w:left="0"/>
              <w:rPr>
                <w:sz w:val="22"/>
                <w:szCs w:val="22"/>
              </w:rPr>
            </w:pPr>
          </w:p>
          <w:p w:rsidR="00926DAB" w:rsidRDefault="00926DAB" w:rsidP="00926DAB">
            <w:pPr>
              <w:pStyle w:val="TableRow"/>
              <w:numPr>
                <w:ilvl w:val="0"/>
                <w:numId w:val="27"/>
              </w:numPr>
              <w:ind w:left="456"/>
              <w:rPr>
                <w:sz w:val="22"/>
                <w:szCs w:val="22"/>
              </w:rPr>
            </w:pPr>
            <w:r>
              <w:rPr>
                <w:sz w:val="22"/>
                <w:szCs w:val="22"/>
              </w:rPr>
              <w:t xml:space="preserve">Focus on Tier1,2, 3 words.  </w:t>
            </w:r>
          </w:p>
          <w:p w:rsidR="00926DAB" w:rsidRPr="00926DAB" w:rsidRDefault="00926DAB" w:rsidP="00926DAB">
            <w:pPr>
              <w:pStyle w:val="TableRow"/>
              <w:numPr>
                <w:ilvl w:val="0"/>
                <w:numId w:val="27"/>
              </w:numPr>
              <w:ind w:left="456"/>
              <w:rPr>
                <w:rFonts w:cs="Arial"/>
                <w:sz w:val="22"/>
                <w:szCs w:val="22"/>
              </w:rPr>
            </w:pPr>
            <w:r>
              <w:rPr>
                <w:sz w:val="22"/>
                <w:szCs w:val="22"/>
              </w:rPr>
              <w:t>Academic reading task each half term in all subjects</w:t>
            </w:r>
          </w:p>
          <w:p w:rsidR="00926DAB" w:rsidRPr="00853DB6" w:rsidRDefault="00926DAB" w:rsidP="00926DAB">
            <w:pPr>
              <w:pStyle w:val="TableRow"/>
              <w:rPr>
                <w:rFonts w:cs="Arial"/>
                <w:sz w:val="22"/>
                <w:szCs w:val="22"/>
              </w:rPr>
            </w:pP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Default="00853DB6" w:rsidP="00853DB6">
            <w:pPr>
              <w:pStyle w:val="TableRowCentered"/>
              <w:jc w:val="left"/>
              <w:rPr>
                <w:sz w:val="22"/>
                <w:szCs w:val="22"/>
              </w:rPr>
            </w:pPr>
            <w:r w:rsidRPr="00853DB6">
              <w:rPr>
                <w:sz w:val="22"/>
                <w:szCs w:val="22"/>
              </w:rPr>
              <w:t>Strong literacy skills are critical to be able to participate fully in modern life.  EEF indicates that one of the best strategies for improving educational outcomes for disadvantaged learners is to improve the teaching of literacy across all subjects.</w:t>
            </w:r>
          </w:p>
          <w:p w:rsidR="00EB050C" w:rsidRPr="00EB050C" w:rsidRDefault="0030130F" w:rsidP="00EB050C">
            <w:pPr>
              <w:pStyle w:val="TableRowCentered"/>
              <w:jc w:val="left"/>
            </w:pPr>
            <w:hyperlink r:id="rId10" w:history="1">
              <w:r w:rsidR="00EB050C">
                <w:rPr>
                  <w:rStyle w:val="Hyperlink"/>
                </w:rPr>
                <w:t>Improving Literacy in Secondary Schools | EEF (educationendowmentfoundation.org.uk)</w:t>
              </w:r>
            </w:hyperlink>
          </w:p>
          <w:p w:rsidR="00EB050C" w:rsidRPr="00853DB6" w:rsidRDefault="00EB050C" w:rsidP="00853DB6">
            <w:pPr>
              <w:pStyle w:val="TableRowCentered"/>
              <w:jc w:val="left"/>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853DB6" w:rsidP="00853DB6">
            <w:pPr>
              <w:pStyle w:val="TableRowCentered"/>
              <w:jc w:val="left"/>
              <w:rPr>
                <w:sz w:val="22"/>
                <w:szCs w:val="22"/>
              </w:rPr>
            </w:pPr>
            <w:r w:rsidRPr="00853DB6">
              <w:rPr>
                <w:sz w:val="22"/>
                <w:szCs w:val="22"/>
              </w:rPr>
              <w:t>1</w:t>
            </w:r>
          </w:p>
        </w:tc>
      </w:tr>
      <w:tr w:rsidR="00853DB6"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9F6DB0" w:rsidP="00853DB6">
            <w:pPr>
              <w:pStyle w:val="TableRow"/>
              <w:ind w:left="0"/>
              <w:rPr>
                <w:rFonts w:cs="Arial"/>
                <w:sz w:val="22"/>
                <w:szCs w:val="22"/>
              </w:rPr>
            </w:pPr>
            <w:r>
              <w:rPr>
                <w:rFonts w:cs="Arial"/>
                <w:sz w:val="22"/>
                <w:szCs w:val="22"/>
              </w:rPr>
              <w:t xml:space="preserve">Staff </w:t>
            </w:r>
            <w:r w:rsidR="005C3A6F" w:rsidRPr="00853DB6">
              <w:rPr>
                <w:rFonts w:cs="Arial"/>
                <w:sz w:val="22"/>
                <w:szCs w:val="22"/>
              </w:rPr>
              <w:t>CPD linked to areas such as cognitive science, cognitive load theory, memory model, how we challenge and measure learning/thinking</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Default="005C3A6F" w:rsidP="005C3A6F">
            <w:pPr>
              <w:pStyle w:val="TableRowCentered"/>
              <w:ind w:left="0"/>
              <w:jc w:val="left"/>
              <w:rPr>
                <w:sz w:val="22"/>
                <w:szCs w:val="22"/>
              </w:rPr>
            </w:pPr>
            <w:r>
              <w:rPr>
                <w:sz w:val="22"/>
                <w:szCs w:val="22"/>
              </w:rPr>
              <w:t>The evidence supporting cognitive science strategies in the classroom is extensive and supports improved outcomes, especially for disadvantaged learners.  CPD such as this supports staff to be effective in planning and delivery of learning tasks and EEF indicates that quality teachers in front of learners i</w:t>
            </w:r>
            <w:r w:rsidR="00C54B1F">
              <w:rPr>
                <w:sz w:val="22"/>
                <w:szCs w:val="22"/>
              </w:rPr>
              <w:t>s</w:t>
            </w:r>
            <w:r>
              <w:rPr>
                <w:sz w:val="22"/>
                <w:szCs w:val="22"/>
              </w:rPr>
              <w:t xml:space="preserve"> fundamental in improving outcomes for disadvantaged learners.</w:t>
            </w:r>
          </w:p>
          <w:p w:rsidR="00CE636C" w:rsidRDefault="0030130F" w:rsidP="00CE636C">
            <w:pPr>
              <w:pStyle w:val="TableRowCentered"/>
              <w:ind w:left="0"/>
              <w:jc w:val="left"/>
            </w:pPr>
            <w:hyperlink r:id="rId11" w:history="1">
              <w:r w:rsidR="00CE636C">
                <w:rPr>
                  <w:rStyle w:val="Hyperlink"/>
                </w:rPr>
                <w:t>Cognitive_science_approaches_in_the_classroom_-_A_review_of_the_evidence.pdf (d2tic4wvo1iusb.cloudfront.net)</w:t>
              </w:r>
            </w:hyperlink>
          </w:p>
          <w:p w:rsidR="00CE636C" w:rsidRPr="00853DB6" w:rsidRDefault="00CE636C" w:rsidP="00CE636C">
            <w:pPr>
              <w:pStyle w:val="TableRowCentered"/>
              <w:ind w:left="0"/>
              <w:jc w:val="left"/>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5C3A6F" w:rsidP="00853DB6">
            <w:pPr>
              <w:pStyle w:val="TableRowCentered"/>
              <w:jc w:val="left"/>
              <w:rPr>
                <w:sz w:val="22"/>
                <w:szCs w:val="22"/>
              </w:rPr>
            </w:pPr>
            <w:r>
              <w:rPr>
                <w:sz w:val="22"/>
                <w:szCs w:val="22"/>
              </w:rPr>
              <w:t>1</w:t>
            </w:r>
          </w:p>
        </w:tc>
      </w:tr>
      <w:tr w:rsidR="00853DB6"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7046AE" w:rsidRDefault="009F6DB0" w:rsidP="00853DB6">
            <w:pPr>
              <w:pStyle w:val="TableRow"/>
              <w:ind w:left="0"/>
              <w:rPr>
                <w:rFonts w:cs="Arial"/>
                <w:sz w:val="22"/>
                <w:szCs w:val="22"/>
              </w:rPr>
            </w:pPr>
            <w:r w:rsidRPr="007046AE">
              <w:rPr>
                <w:rFonts w:cs="Arial"/>
                <w:sz w:val="22"/>
                <w:szCs w:val="22"/>
              </w:rPr>
              <w:t xml:space="preserve">Staff </w:t>
            </w:r>
            <w:r w:rsidR="005C3A6F" w:rsidRPr="007046AE">
              <w:rPr>
                <w:rFonts w:cs="Arial"/>
                <w:sz w:val="22"/>
                <w:szCs w:val="22"/>
              </w:rPr>
              <w:t>CPD linked to curriculum design, intent, implementation and impact</w:t>
            </w:r>
            <w:r w:rsidR="007046AE">
              <w:rPr>
                <w:rFonts w:cs="Arial"/>
                <w:sz w:val="22"/>
                <w:szCs w:val="22"/>
              </w:rPr>
              <w:t xml:space="preserve"> (in school and GAET network engagement)</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7046AE" w:rsidRDefault="007046AE" w:rsidP="007134F4">
            <w:pPr>
              <w:pStyle w:val="TableRowCentered"/>
              <w:jc w:val="left"/>
              <w:rPr>
                <w:color w:val="FF0000"/>
                <w:sz w:val="22"/>
                <w:szCs w:val="22"/>
              </w:rPr>
            </w:pPr>
            <w:r w:rsidRPr="007046AE">
              <w:rPr>
                <w:sz w:val="22"/>
                <w:szCs w:val="22"/>
              </w:rPr>
              <w:t>A well designed, well sequenced curriculum is understood to improve outcomes for all pupils. We will use the latest research in subject pedagogy (Ofsted research reviews) to inform our practice.</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F83A80" w:rsidP="00853DB6">
            <w:pPr>
              <w:pStyle w:val="TableRowCentered"/>
              <w:jc w:val="left"/>
              <w:rPr>
                <w:sz w:val="22"/>
                <w:szCs w:val="22"/>
              </w:rPr>
            </w:pPr>
            <w:r>
              <w:rPr>
                <w:sz w:val="22"/>
                <w:szCs w:val="22"/>
              </w:rPr>
              <w:t>1</w:t>
            </w:r>
          </w:p>
        </w:tc>
      </w:tr>
      <w:tr w:rsidR="00853DB6"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F83A80" w:rsidP="00853DB6">
            <w:pPr>
              <w:pStyle w:val="TableRow"/>
              <w:ind w:left="0"/>
              <w:rPr>
                <w:rFonts w:cs="Arial"/>
                <w:sz w:val="22"/>
                <w:szCs w:val="22"/>
              </w:rPr>
            </w:pPr>
            <w:r w:rsidRPr="00853DB6">
              <w:rPr>
                <w:sz w:val="22"/>
                <w:szCs w:val="22"/>
              </w:rPr>
              <w:t>Joint PPA time to be used in each faculty to develop subject specific strategies to improve T&amp;L</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F83A80" w:rsidP="00853DB6">
            <w:pPr>
              <w:pStyle w:val="TableRowCentered"/>
              <w:jc w:val="left"/>
              <w:rPr>
                <w:sz w:val="22"/>
                <w:szCs w:val="22"/>
              </w:rPr>
            </w:pPr>
            <w:r w:rsidRPr="00853DB6">
              <w:rPr>
                <w:sz w:val="22"/>
                <w:szCs w:val="22"/>
              </w:rPr>
              <w:t>EEF indicates that PP students benefit from good teaching and</w:t>
            </w:r>
            <w:r w:rsidR="007134F4">
              <w:rPr>
                <w:sz w:val="22"/>
                <w:szCs w:val="22"/>
              </w:rPr>
              <w:t xml:space="preserve"> learning</w:t>
            </w:r>
            <w:r w:rsidR="007046AE">
              <w:rPr>
                <w:sz w:val="22"/>
                <w:szCs w:val="22"/>
              </w:rPr>
              <w:t xml:space="preserve"> - </w:t>
            </w:r>
            <w:r w:rsidR="007134F4">
              <w:rPr>
                <w:sz w:val="22"/>
                <w:szCs w:val="22"/>
              </w:rPr>
              <w:t>j</w:t>
            </w:r>
            <w:r w:rsidRPr="00853DB6">
              <w:rPr>
                <w:sz w:val="22"/>
                <w:szCs w:val="22"/>
              </w:rPr>
              <w:t>oint PPA allow</w:t>
            </w:r>
            <w:r w:rsidR="007046AE">
              <w:rPr>
                <w:sz w:val="22"/>
                <w:szCs w:val="22"/>
              </w:rPr>
              <w:t>s for</w:t>
            </w:r>
            <w:r w:rsidRPr="00853DB6">
              <w:rPr>
                <w:sz w:val="22"/>
                <w:szCs w:val="22"/>
              </w:rPr>
              <w:t xml:space="preserve"> co-planning to develop staff subject and curriculum knowledge</w:t>
            </w:r>
            <w:r w:rsidR="007134F4">
              <w:rPr>
                <w:sz w:val="22"/>
                <w:szCs w:val="22"/>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F83A80" w:rsidP="00853DB6">
            <w:pPr>
              <w:pStyle w:val="TableRowCentered"/>
              <w:jc w:val="left"/>
              <w:rPr>
                <w:sz w:val="22"/>
                <w:szCs w:val="22"/>
              </w:rPr>
            </w:pPr>
            <w:r>
              <w:rPr>
                <w:sz w:val="22"/>
                <w:szCs w:val="22"/>
              </w:rPr>
              <w:t>1</w:t>
            </w:r>
          </w:p>
        </w:tc>
      </w:tr>
      <w:tr w:rsidR="00853DB6"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3D0745" w:rsidP="00853DB6">
            <w:pPr>
              <w:pStyle w:val="TableRow"/>
              <w:ind w:left="0"/>
              <w:rPr>
                <w:sz w:val="22"/>
                <w:szCs w:val="22"/>
              </w:rPr>
            </w:pPr>
            <w:r>
              <w:rPr>
                <w:rFonts w:cs="Arial"/>
                <w:sz w:val="22"/>
                <w:szCs w:val="22"/>
              </w:rPr>
              <w:t xml:space="preserve">GREAT Learning Habits, </w:t>
            </w:r>
            <w:r w:rsidR="00853DB6" w:rsidRPr="00853DB6">
              <w:rPr>
                <w:rFonts w:cs="Arial"/>
                <w:sz w:val="22"/>
                <w:szCs w:val="22"/>
              </w:rPr>
              <w:t xml:space="preserve">Metacognition and </w:t>
            </w:r>
            <w:r w:rsidR="00420415" w:rsidRPr="00853DB6">
              <w:rPr>
                <w:rFonts w:cs="Arial"/>
                <w:sz w:val="22"/>
                <w:szCs w:val="22"/>
              </w:rPr>
              <w:t>Self-Regulation</w:t>
            </w:r>
            <w:r>
              <w:rPr>
                <w:rFonts w:cs="Arial"/>
                <w:sz w:val="22"/>
                <w:szCs w:val="22"/>
              </w:rPr>
              <w:t xml:space="preserve"> training for KS3</w:t>
            </w:r>
            <w:r w:rsidR="00853DB6" w:rsidRPr="00853DB6">
              <w:rPr>
                <w:rFonts w:cs="Arial"/>
                <w:sz w:val="22"/>
                <w:szCs w:val="22"/>
              </w:rPr>
              <w:t xml:space="preserve"> and PP pupil</w:t>
            </w:r>
            <w:r w:rsidR="007046AE">
              <w:rPr>
                <w:rFonts w:cs="Arial"/>
                <w:sz w:val="22"/>
                <w:szCs w:val="22"/>
              </w:rPr>
              <w:t xml:space="preserve">s </w:t>
            </w:r>
            <w:r w:rsidR="00853DB6" w:rsidRPr="00853DB6">
              <w:rPr>
                <w:rFonts w:cs="Arial"/>
                <w:sz w:val="22"/>
                <w:szCs w:val="22"/>
              </w:rPr>
              <w:t>across the school</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50C" w:rsidRDefault="00F83A80" w:rsidP="00F83A80">
            <w:pPr>
              <w:pStyle w:val="TableRowCentered"/>
              <w:ind w:left="0"/>
              <w:jc w:val="left"/>
              <w:rPr>
                <w:rFonts w:cs="Arial"/>
                <w:color w:val="auto"/>
                <w:sz w:val="22"/>
                <w:szCs w:val="22"/>
                <w:shd w:val="clear" w:color="auto" w:fill="FFFFFF"/>
              </w:rPr>
            </w:pPr>
            <w:r w:rsidRPr="00F83A80">
              <w:rPr>
                <w:rFonts w:cs="Arial"/>
                <w:color w:val="auto"/>
                <w:sz w:val="22"/>
                <w:szCs w:val="22"/>
                <w:shd w:val="clear" w:color="auto" w:fill="FFFFFF"/>
              </w:rPr>
              <w:t>EEF evidence suggests the use of ​metacognitive strategies, which get pupils to think about their own learning can be worth the equivalent of an additional +7 months’ progress when used well.</w:t>
            </w:r>
          </w:p>
          <w:p w:rsidR="00EB050C" w:rsidRDefault="0030130F" w:rsidP="00F83A80">
            <w:pPr>
              <w:pStyle w:val="TableRowCentered"/>
              <w:ind w:left="0"/>
              <w:jc w:val="left"/>
            </w:pPr>
            <w:hyperlink r:id="rId12" w:history="1">
              <w:r w:rsidR="00EB050C">
                <w:rPr>
                  <w:rStyle w:val="Hyperlink"/>
                </w:rPr>
                <w:t>Metacognition and self-regulation | EEF (educationendowmentfoundation.org.uk)</w:t>
              </w:r>
            </w:hyperlink>
          </w:p>
          <w:p w:rsidR="00EB050C" w:rsidRPr="00F83A80" w:rsidRDefault="00EB050C" w:rsidP="00F83A80">
            <w:pPr>
              <w:pStyle w:val="TableRowCentered"/>
              <w:ind w:left="0"/>
              <w:jc w:val="left"/>
              <w:rPr>
                <w:rFonts w:cs="Arial"/>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F83A80" w:rsidP="00853DB6">
            <w:pPr>
              <w:pStyle w:val="TableRowCentered"/>
              <w:jc w:val="left"/>
              <w:rPr>
                <w:sz w:val="22"/>
                <w:szCs w:val="22"/>
              </w:rPr>
            </w:pPr>
            <w:r>
              <w:rPr>
                <w:sz w:val="22"/>
                <w:szCs w:val="22"/>
              </w:rPr>
              <w:lastRenderedPageBreak/>
              <w:t>1, 6</w:t>
            </w:r>
          </w:p>
        </w:tc>
      </w:tr>
      <w:tr w:rsidR="003E3D1D"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D1D" w:rsidRDefault="003E3D1D" w:rsidP="00853DB6">
            <w:pPr>
              <w:pStyle w:val="TableRow"/>
              <w:ind w:left="0"/>
              <w:rPr>
                <w:rFonts w:cs="Arial"/>
                <w:sz w:val="22"/>
                <w:szCs w:val="22"/>
              </w:rPr>
            </w:pPr>
            <w:r>
              <w:rPr>
                <w:rFonts w:cs="Arial"/>
                <w:sz w:val="22"/>
                <w:szCs w:val="22"/>
              </w:rPr>
              <w:lastRenderedPageBreak/>
              <w:t>Reduced class sizes across the academy to support lost learning, post Covid</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D1D" w:rsidRPr="00F83A80" w:rsidRDefault="003E3D1D" w:rsidP="00F83A80">
            <w:pPr>
              <w:pStyle w:val="TableRowCentered"/>
              <w:ind w:left="0"/>
              <w:jc w:val="left"/>
              <w:rPr>
                <w:rFonts w:cs="Arial"/>
                <w:color w:val="auto"/>
                <w:sz w:val="22"/>
                <w:szCs w:val="22"/>
                <w:shd w:val="clear" w:color="auto" w:fill="FFFFFF"/>
              </w:rPr>
            </w:pPr>
            <w:r>
              <w:rPr>
                <w:rFonts w:cs="Arial"/>
                <w:color w:val="auto"/>
                <w:sz w:val="22"/>
                <w:szCs w:val="22"/>
                <w:shd w:val="clear" w:color="auto" w:fill="FFFFFF"/>
              </w:rPr>
              <w:t>Enabling strong teachers to work with smaller class sizes, and with some of our most vulnerable pupils can begin to redeem some of the lost learning, caused by 2 national lockdowns.</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D1D" w:rsidRDefault="003E3D1D" w:rsidP="00853DB6">
            <w:pPr>
              <w:pStyle w:val="TableRowCentered"/>
              <w:jc w:val="left"/>
              <w:rPr>
                <w:sz w:val="22"/>
                <w:szCs w:val="22"/>
              </w:rPr>
            </w:pPr>
            <w:r>
              <w:rPr>
                <w:sz w:val="22"/>
                <w:szCs w:val="22"/>
              </w:rPr>
              <w:t>1</w:t>
            </w:r>
          </w:p>
        </w:tc>
      </w:tr>
      <w:tr w:rsidR="00853DB6"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853DB6" w:rsidP="00853DB6">
            <w:pPr>
              <w:pStyle w:val="TableRow"/>
              <w:rPr>
                <w:sz w:val="22"/>
                <w:szCs w:val="22"/>
              </w:rPr>
            </w:pPr>
            <w:r w:rsidRPr="00853DB6">
              <w:rPr>
                <w:sz w:val="22"/>
                <w:szCs w:val="22"/>
              </w:rPr>
              <w:t xml:space="preserve">PP role in English to </w:t>
            </w:r>
            <w:r w:rsidR="007046AE">
              <w:rPr>
                <w:sz w:val="22"/>
                <w:szCs w:val="22"/>
              </w:rPr>
              <w:t xml:space="preserve">further </w:t>
            </w:r>
            <w:r w:rsidRPr="00853DB6">
              <w:rPr>
                <w:sz w:val="22"/>
                <w:szCs w:val="22"/>
              </w:rPr>
              <w:t>support PP pupils in the subject.</w:t>
            </w:r>
          </w:p>
          <w:p w:rsidR="00853DB6" w:rsidRPr="00853DB6" w:rsidRDefault="00853DB6" w:rsidP="00853DB6">
            <w:pPr>
              <w:pStyle w:val="TableRow"/>
              <w:rPr>
                <w:sz w:val="22"/>
                <w:szCs w:val="22"/>
              </w:rPr>
            </w:pPr>
            <w:r w:rsidRPr="00853DB6">
              <w:rPr>
                <w:sz w:val="22"/>
                <w:szCs w:val="22"/>
              </w:rPr>
              <w:t xml:space="preserve">One of the main focuses for this role is to identify underperformance of PP pupils across the academy and provide small group </w:t>
            </w:r>
            <w:r w:rsidR="007046AE">
              <w:rPr>
                <w:sz w:val="22"/>
                <w:szCs w:val="22"/>
              </w:rPr>
              <w:t xml:space="preserve">English </w:t>
            </w:r>
            <w:r w:rsidRPr="00853DB6">
              <w:rPr>
                <w:sz w:val="22"/>
                <w:szCs w:val="22"/>
              </w:rPr>
              <w:t>tuition</w:t>
            </w:r>
            <w:r w:rsidR="007046AE">
              <w:rPr>
                <w:sz w:val="22"/>
                <w:szCs w:val="22"/>
              </w:rPr>
              <w:t>.</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853DB6" w:rsidP="00847FAF">
            <w:pPr>
              <w:pStyle w:val="TableRowCentered"/>
              <w:jc w:val="left"/>
              <w:rPr>
                <w:sz w:val="22"/>
                <w:szCs w:val="22"/>
              </w:rPr>
            </w:pPr>
            <w:r w:rsidRPr="00853DB6">
              <w:rPr>
                <w:sz w:val="22"/>
                <w:szCs w:val="22"/>
              </w:rPr>
              <w:t>EEF indicated that small group tuition</w:t>
            </w:r>
            <w:r w:rsidR="006C6F39">
              <w:rPr>
                <w:sz w:val="22"/>
                <w:szCs w:val="22"/>
              </w:rPr>
              <w:t xml:space="preserve"> and targeted interventions</w:t>
            </w:r>
            <w:r w:rsidRPr="00853DB6">
              <w:rPr>
                <w:sz w:val="22"/>
                <w:szCs w:val="22"/>
              </w:rPr>
              <w:t xml:space="preserve"> to support underperformance is powerful in improving outcomes for PP </w:t>
            </w:r>
            <w:r w:rsidRPr="006C6F39">
              <w:rPr>
                <w:rFonts w:cs="Arial"/>
                <w:sz w:val="22"/>
                <w:szCs w:val="22"/>
              </w:rPr>
              <w:t>pupils.</w:t>
            </w:r>
            <w:r w:rsidR="006C6F39">
              <w:rPr>
                <w:rFonts w:cs="Arial"/>
                <w:sz w:val="22"/>
                <w:szCs w:val="22"/>
              </w:rPr>
              <w:t xml:space="preserve"> </w:t>
            </w:r>
            <w:r w:rsidR="006C6F39" w:rsidRPr="006C6F39">
              <w:rPr>
                <w:rFonts w:cs="Arial"/>
                <w:color w:val="263238"/>
                <w:sz w:val="22"/>
                <w:szCs w:val="22"/>
                <w:shd w:val="clear" w:color="auto" w:fill="FFFFFF"/>
              </w:rPr>
              <w:t xml:space="preserve"> </w:t>
            </w:r>
            <w:r w:rsidR="00847FAF">
              <w:rPr>
                <w:rFonts w:cs="Arial"/>
                <w:color w:val="263238"/>
                <w:sz w:val="22"/>
                <w:szCs w:val="22"/>
                <w:shd w:val="clear" w:color="auto" w:fill="FFFFFF"/>
              </w:rPr>
              <w:t xml:space="preserve">Our evidence suggests </w:t>
            </w:r>
            <w:r w:rsidR="00847FAF" w:rsidRPr="00B83AA3">
              <w:rPr>
                <w:rFonts w:cs="Arial"/>
                <w:color w:val="auto"/>
                <w:sz w:val="22"/>
                <w:szCs w:val="22"/>
                <w:shd w:val="clear" w:color="auto" w:fill="FFFFFF"/>
              </w:rPr>
              <w:t xml:space="preserve">that early interventions are powerful.  For example, Y9 small group reading tuition is closing gaps in reading comprehension.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853DB6" w:rsidP="00853DB6">
            <w:pPr>
              <w:pStyle w:val="TableRowCentered"/>
              <w:jc w:val="left"/>
              <w:rPr>
                <w:sz w:val="22"/>
                <w:szCs w:val="22"/>
              </w:rPr>
            </w:pPr>
            <w:r w:rsidRPr="00853DB6">
              <w:rPr>
                <w:sz w:val="22"/>
                <w:szCs w:val="22"/>
              </w:rPr>
              <w:t>1</w:t>
            </w:r>
          </w:p>
        </w:tc>
      </w:tr>
      <w:tr w:rsidR="00853DB6" w:rsidRPr="00853DB6" w:rsidTr="00E967B6">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7046AE" w:rsidP="00853DB6">
            <w:pPr>
              <w:pStyle w:val="TableRow"/>
              <w:rPr>
                <w:sz w:val="22"/>
                <w:szCs w:val="22"/>
              </w:rPr>
            </w:pPr>
            <w:r>
              <w:rPr>
                <w:sz w:val="22"/>
                <w:szCs w:val="22"/>
              </w:rPr>
              <w:t>CPD</w:t>
            </w:r>
            <w:r w:rsidR="00853DB6" w:rsidRPr="00853DB6">
              <w:rPr>
                <w:sz w:val="22"/>
                <w:szCs w:val="22"/>
              </w:rPr>
              <w:t xml:space="preserve"> programme to support early career teachers</w:t>
            </w:r>
            <w:r w:rsidR="00847FAF">
              <w:rPr>
                <w:sz w:val="22"/>
                <w:szCs w:val="22"/>
              </w:rPr>
              <w:t xml:space="preserve"> (</w:t>
            </w:r>
            <w:r>
              <w:rPr>
                <w:sz w:val="22"/>
                <w:szCs w:val="22"/>
              </w:rPr>
              <w:t xml:space="preserve">via </w:t>
            </w:r>
            <w:r w:rsidR="00847FAF">
              <w:rPr>
                <w:sz w:val="22"/>
                <w:szCs w:val="22"/>
              </w:rPr>
              <w:t>Ambition)</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853DB6" w:rsidP="00853DB6">
            <w:pPr>
              <w:pStyle w:val="TableRowCentered"/>
              <w:jc w:val="left"/>
              <w:rPr>
                <w:sz w:val="22"/>
                <w:szCs w:val="22"/>
              </w:rPr>
            </w:pPr>
            <w:r w:rsidRPr="00853DB6">
              <w:rPr>
                <w:sz w:val="22"/>
                <w:szCs w:val="22"/>
              </w:rPr>
              <w:t>Evidence supports that quality CPD can have a positive impact on the effectiveness of teachers.  EEF indicates that a quality teacher in front of disadvantaged pupils serves as one of the best strategies for improving PP outcomes.</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DB6" w:rsidRPr="00853DB6" w:rsidRDefault="00853DB6" w:rsidP="00853DB6">
            <w:pPr>
              <w:pStyle w:val="TableRowCentered"/>
              <w:jc w:val="left"/>
              <w:rPr>
                <w:sz w:val="22"/>
                <w:szCs w:val="22"/>
              </w:rPr>
            </w:pPr>
            <w:r w:rsidRPr="00853DB6">
              <w:rPr>
                <w:sz w:val="22"/>
                <w:szCs w:val="22"/>
              </w:rPr>
              <w:t>1</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3E3483">
      <w:r>
        <w:t>Budgeted cost: £110,000</w:t>
      </w:r>
    </w:p>
    <w:tbl>
      <w:tblPr>
        <w:tblW w:w="5000" w:type="pct"/>
        <w:tblCellMar>
          <w:left w:w="10" w:type="dxa"/>
          <w:right w:w="10" w:type="dxa"/>
        </w:tblCellMar>
        <w:tblLook w:val="04A0" w:firstRow="1" w:lastRow="0" w:firstColumn="1" w:lastColumn="0" w:noHBand="0" w:noVBand="1"/>
      </w:tblPr>
      <w:tblGrid>
        <w:gridCol w:w="2849"/>
        <w:gridCol w:w="5651"/>
        <w:gridCol w:w="1554"/>
      </w:tblGrid>
      <w:tr w:rsidR="00E66558"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Activity</w:t>
            </w:r>
          </w:p>
        </w:tc>
        <w:tc>
          <w:tcPr>
            <w:tcW w:w="56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Evidence that supports this approach</w:t>
            </w:r>
          </w:p>
        </w:tc>
        <w:tc>
          <w:tcPr>
            <w:tcW w:w="15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Challenge number(s) addressed</w:t>
            </w:r>
          </w:p>
        </w:tc>
      </w:tr>
      <w:tr w:rsidR="00E66558"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E2F4C" w:rsidP="007D0FA3">
            <w:pPr>
              <w:pStyle w:val="TableRow"/>
              <w:ind w:left="0"/>
              <w:rPr>
                <w:sz w:val="22"/>
                <w:szCs w:val="22"/>
              </w:rPr>
            </w:pPr>
            <w:r w:rsidRPr="00853DB6">
              <w:rPr>
                <w:sz w:val="22"/>
                <w:szCs w:val="22"/>
              </w:rPr>
              <w:t>Targeted</w:t>
            </w:r>
            <w:r w:rsidR="00173DB9" w:rsidRPr="00853DB6">
              <w:rPr>
                <w:sz w:val="22"/>
                <w:szCs w:val="22"/>
              </w:rPr>
              <w:t xml:space="preserve"> </w:t>
            </w:r>
            <w:r w:rsidR="00A06300">
              <w:rPr>
                <w:sz w:val="22"/>
                <w:szCs w:val="22"/>
              </w:rPr>
              <w:t xml:space="preserve">form time and </w:t>
            </w:r>
            <w:r w:rsidR="00173DB9" w:rsidRPr="00853DB6">
              <w:rPr>
                <w:sz w:val="22"/>
                <w:szCs w:val="22"/>
              </w:rPr>
              <w:t xml:space="preserve">P6 intervention for all underachieving </w:t>
            </w:r>
            <w:r w:rsidR="008946AA">
              <w:rPr>
                <w:sz w:val="22"/>
                <w:szCs w:val="22"/>
              </w:rPr>
              <w:t xml:space="preserve">Y11 </w:t>
            </w:r>
            <w:r w:rsidR="00173DB9" w:rsidRPr="00853DB6">
              <w:rPr>
                <w:sz w:val="22"/>
                <w:szCs w:val="22"/>
              </w:rPr>
              <w:t>PP pupils</w:t>
            </w:r>
            <w:r w:rsidR="008946AA">
              <w:rPr>
                <w:sz w:val="22"/>
                <w:szCs w:val="22"/>
              </w:rPr>
              <w:t xml:space="preserve"> across English, maths and science</w:t>
            </w:r>
            <w:r w:rsidR="007046AE">
              <w:rPr>
                <w:sz w:val="22"/>
                <w:szCs w:val="22"/>
              </w:rPr>
              <w:t xml:space="preserve"> (teacher led).</w:t>
            </w:r>
          </w:p>
          <w:p w:rsidR="00A06300" w:rsidRDefault="00A06300" w:rsidP="007D0FA3">
            <w:pPr>
              <w:pStyle w:val="TableRow"/>
              <w:ind w:left="0"/>
              <w:rPr>
                <w:sz w:val="22"/>
                <w:szCs w:val="22"/>
              </w:rPr>
            </w:pPr>
          </w:p>
          <w:p w:rsidR="00A06300" w:rsidRPr="00853DB6" w:rsidRDefault="00A06300" w:rsidP="007D0FA3">
            <w:pPr>
              <w:pStyle w:val="TableRow"/>
              <w:ind w:left="0"/>
              <w:rPr>
                <w:sz w:val="22"/>
                <w:szCs w:val="22"/>
              </w:rPr>
            </w:pPr>
            <w:r>
              <w:rPr>
                <w:sz w:val="22"/>
                <w:szCs w:val="22"/>
              </w:rPr>
              <w:t>Support pupils how to create a revision plan and how to revise independently.</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6AA" w:rsidRPr="007046AE" w:rsidRDefault="008946AA" w:rsidP="007C034C">
            <w:pPr>
              <w:suppressAutoHyphens w:val="0"/>
              <w:autoSpaceDN/>
              <w:spacing w:before="60" w:after="60" w:line="240" w:lineRule="auto"/>
              <w:ind w:left="57" w:right="57"/>
              <w:rPr>
                <w:color w:val="auto"/>
                <w:sz w:val="22"/>
                <w:szCs w:val="22"/>
              </w:rPr>
            </w:pPr>
            <w:r w:rsidRPr="007046AE">
              <w:rPr>
                <w:color w:val="auto"/>
                <w:sz w:val="22"/>
                <w:szCs w:val="22"/>
              </w:rPr>
              <w:t>Tuition targeted at specific needs and knowledge gaps can be an effective method to support low attaining pupils or those falling behind, both one-to-one:</w:t>
            </w:r>
          </w:p>
          <w:p w:rsidR="008946AA" w:rsidRPr="007046AE" w:rsidRDefault="0030130F" w:rsidP="008946AA">
            <w:pPr>
              <w:suppressAutoHyphens w:val="0"/>
              <w:autoSpaceDN/>
              <w:spacing w:before="60" w:after="60" w:line="240" w:lineRule="auto"/>
              <w:ind w:left="57" w:right="57"/>
              <w:rPr>
                <w:color w:val="0070C0"/>
                <w:sz w:val="22"/>
                <w:szCs w:val="22"/>
              </w:rPr>
            </w:pPr>
            <w:hyperlink r:id="rId13" w:history="1">
              <w:r w:rsidR="008946AA" w:rsidRPr="007046AE">
                <w:rPr>
                  <w:color w:val="0070C0"/>
                  <w:sz w:val="22"/>
                  <w:szCs w:val="22"/>
                  <w:u w:val="single"/>
                </w:rPr>
                <w:t>One to one tuition | EEF (educationendowmentfoundation.org.uk)</w:t>
              </w:r>
            </w:hyperlink>
          </w:p>
          <w:p w:rsidR="008946AA" w:rsidRPr="007046AE" w:rsidRDefault="008946AA" w:rsidP="008946AA">
            <w:pPr>
              <w:suppressAutoHyphens w:val="0"/>
              <w:autoSpaceDN/>
              <w:spacing w:before="60" w:after="60" w:line="240" w:lineRule="auto"/>
              <w:ind w:left="57" w:right="57"/>
              <w:rPr>
                <w:color w:val="auto"/>
                <w:sz w:val="22"/>
                <w:szCs w:val="22"/>
              </w:rPr>
            </w:pPr>
            <w:r w:rsidRPr="007046AE">
              <w:rPr>
                <w:color w:val="auto"/>
                <w:sz w:val="22"/>
                <w:szCs w:val="22"/>
              </w:rPr>
              <w:t>And in small groups:</w:t>
            </w:r>
          </w:p>
          <w:p w:rsidR="00E66558" w:rsidRDefault="0030130F" w:rsidP="008946AA">
            <w:pPr>
              <w:pStyle w:val="TableRowCentered"/>
              <w:jc w:val="left"/>
              <w:rPr>
                <w:color w:val="0070C0"/>
                <w:sz w:val="22"/>
                <w:szCs w:val="22"/>
                <w:u w:val="single"/>
              </w:rPr>
            </w:pPr>
            <w:hyperlink r:id="rId14" w:history="1">
              <w:r w:rsidR="008946AA" w:rsidRPr="007046AE">
                <w:rPr>
                  <w:color w:val="0070C0"/>
                  <w:sz w:val="22"/>
                  <w:szCs w:val="22"/>
                  <w:u w:val="single"/>
                </w:rPr>
                <w:t>Small group tuition | Toolkit Strand | Education Endowment Foundation | EEF</w:t>
              </w:r>
            </w:hyperlink>
          </w:p>
          <w:p w:rsidR="007C034C" w:rsidRDefault="007C034C" w:rsidP="008946AA">
            <w:pPr>
              <w:pStyle w:val="TableRowCentered"/>
              <w:jc w:val="left"/>
              <w:rPr>
                <w:sz w:val="22"/>
                <w:szCs w:val="22"/>
              </w:rPr>
            </w:pPr>
          </w:p>
          <w:p w:rsidR="007C034C" w:rsidRDefault="007C034C" w:rsidP="007C034C">
            <w:pPr>
              <w:suppressAutoHyphens w:val="0"/>
              <w:autoSpaceDN/>
              <w:spacing w:before="60" w:after="60" w:line="240" w:lineRule="auto"/>
              <w:ind w:left="57" w:right="57"/>
              <w:rPr>
                <w:color w:val="auto"/>
                <w:sz w:val="22"/>
                <w:szCs w:val="22"/>
              </w:rPr>
            </w:pPr>
            <w:r w:rsidRPr="007C034C">
              <w:rPr>
                <w:color w:val="auto"/>
                <w:sz w:val="22"/>
                <w:szCs w:val="22"/>
              </w:rPr>
              <w:t>There is evidence to suggest that disadvantaged pupils benefit more from additional school time</w:t>
            </w:r>
            <w:r>
              <w:rPr>
                <w:sz w:val="22"/>
                <w:szCs w:val="22"/>
              </w:rPr>
              <w:t xml:space="preserve"> because m</w:t>
            </w:r>
            <w:r w:rsidRPr="0075640C">
              <w:rPr>
                <w:sz w:val="22"/>
                <w:szCs w:val="22"/>
              </w:rPr>
              <w:t>any pupils find that tutoring offers a safe space to talk about concepts they have struggled with in the classroom</w:t>
            </w:r>
            <w:r>
              <w:rPr>
                <w:sz w:val="22"/>
                <w:szCs w:val="22"/>
              </w:rPr>
              <w:t>.</w:t>
            </w:r>
            <w:r>
              <w:rPr>
                <w:color w:val="auto"/>
                <w:sz w:val="22"/>
                <w:szCs w:val="22"/>
              </w:rPr>
              <w:t xml:space="preserve"> </w:t>
            </w:r>
            <w:r w:rsidRPr="007C034C">
              <w:rPr>
                <w:color w:val="auto"/>
                <w:sz w:val="22"/>
                <w:szCs w:val="22"/>
              </w:rPr>
              <w:t xml:space="preserve">To increase the likelihood of additional school time benefitting disadvantaged pupils, school leaders consider </w:t>
            </w:r>
            <w:r>
              <w:rPr>
                <w:color w:val="auto"/>
                <w:sz w:val="22"/>
                <w:szCs w:val="22"/>
              </w:rPr>
              <w:t xml:space="preserve">in particular </w:t>
            </w:r>
            <w:r w:rsidRPr="007C034C">
              <w:rPr>
                <w:color w:val="auto"/>
                <w:sz w:val="22"/>
                <w:szCs w:val="22"/>
              </w:rPr>
              <w:t>how to secure engagement and attendance among those from disadvantaged backgrounds.</w:t>
            </w:r>
            <w:r>
              <w:rPr>
                <w:color w:val="auto"/>
                <w:sz w:val="22"/>
                <w:szCs w:val="22"/>
              </w:rPr>
              <w:t xml:space="preserve"> To mitigate the risk of non engagement out of core school time we also offer form </w:t>
            </w:r>
            <w:r>
              <w:rPr>
                <w:color w:val="auto"/>
                <w:sz w:val="22"/>
                <w:szCs w:val="22"/>
              </w:rPr>
              <w:lastRenderedPageBreak/>
              <w:t xml:space="preserve">time intervention to ensure that all PP pupils can benefit from tuition. </w:t>
            </w:r>
            <w:r w:rsidRPr="007C034C">
              <w:rPr>
                <w:color w:val="auto"/>
                <w:sz w:val="22"/>
                <w:szCs w:val="22"/>
              </w:rPr>
              <w:t xml:space="preserve"> </w:t>
            </w:r>
          </w:p>
          <w:p w:rsidR="007C034C" w:rsidRPr="007046AE" w:rsidRDefault="007C034C" w:rsidP="008946AA">
            <w:pPr>
              <w:pStyle w:val="TableRowCentered"/>
              <w:jc w:val="left"/>
              <w:rPr>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53DB6" w:rsidRDefault="000B3585" w:rsidP="00A06300">
            <w:pPr>
              <w:pStyle w:val="TableRowCentered"/>
              <w:ind w:left="0"/>
              <w:jc w:val="left"/>
              <w:rPr>
                <w:sz w:val="22"/>
                <w:szCs w:val="22"/>
              </w:rPr>
            </w:pPr>
            <w:r>
              <w:rPr>
                <w:sz w:val="22"/>
                <w:szCs w:val="22"/>
              </w:rPr>
              <w:lastRenderedPageBreak/>
              <w:t>1</w:t>
            </w:r>
          </w:p>
        </w:tc>
      </w:tr>
      <w:tr w:rsidR="00E66558"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53DB6" w:rsidRDefault="00FC1811">
            <w:pPr>
              <w:pStyle w:val="TableRow"/>
              <w:rPr>
                <w:sz w:val="22"/>
                <w:szCs w:val="22"/>
              </w:rPr>
            </w:pPr>
            <w:r w:rsidRPr="00853DB6">
              <w:rPr>
                <w:sz w:val="22"/>
                <w:szCs w:val="22"/>
              </w:rPr>
              <w:lastRenderedPageBreak/>
              <w:t>MU Foundation</w:t>
            </w:r>
            <w:r w:rsidR="0062586E" w:rsidRPr="00853DB6">
              <w:rPr>
                <w:sz w:val="22"/>
                <w:szCs w:val="22"/>
              </w:rPr>
              <w:t xml:space="preserve"> </w:t>
            </w:r>
            <w:r w:rsidR="00A06300">
              <w:rPr>
                <w:sz w:val="22"/>
                <w:szCs w:val="22"/>
              </w:rPr>
              <w:t>to mentor a targeted number of PP pupils across KS3 to provide intervention and inspiration for those involved in the scheme</w:t>
            </w:r>
            <w:r w:rsidR="000B3585">
              <w:rPr>
                <w:sz w:val="22"/>
                <w:szCs w:val="22"/>
              </w:rPr>
              <w:t>.</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7046AE" w:rsidRDefault="00A57E73">
            <w:pPr>
              <w:pStyle w:val="TableRowCentered"/>
              <w:jc w:val="left"/>
              <w:rPr>
                <w:sz w:val="22"/>
                <w:szCs w:val="22"/>
              </w:rPr>
            </w:pPr>
            <w:r w:rsidRPr="007046AE">
              <w:rPr>
                <w:color w:val="auto"/>
                <w:sz w:val="22"/>
                <w:szCs w:val="22"/>
              </w:rPr>
              <w:t>Manchester United Foundation provide</w:t>
            </w:r>
            <w:r w:rsidRPr="007046AE">
              <w:rPr>
                <w:b/>
                <w:color w:val="auto"/>
                <w:sz w:val="22"/>
                <w:szCs w:val="22"/>
              </w:rPr>
              <w:t xml:space="preserve"> </w:t>
            </w:r>
            <w:r w:rsidR="005D1678" w:rsidRPr="007046AE">
              <w:rPr>
                <w:color w:val="auto"/>
                <w:sz w:val="22"/>
                <w:szCs w:val="22"/>
              </w:rPr>
              <w:t xml:space="preserve">Social and emotional learning (SEL) interventions </w:t>
            </w:r>
            <w:r w:rsidRPr="007046AE">
              <w:rPr>
                <w:color w:val="auto"/>
                <w:sz w:val="22"/>
                <w:szCs w:val="22"/>
              </w:rPr>
              <w:t xml:space="preserve">which </w:t>
            </w:r>
            <w:r w:rsidR="005D1678" w:rsidRPr="007046AE">
              <w:rPr>
                <w:color w:val="auto"/>
                <w:sz w:val="22"/>
                <w:szCs w:val="22"/>
              </w:rPr>
              <w:t>seek to improve pupils’ decision-making skills, interaction with others and their self-management of emotions, rather than focusing directly on the academic or cognitive elements of learning.</w:t>
            </w:r>
            <w:r w:rsidRPr="007046AE">
              <w:rPr>
                <w:color w:val="auto"/>
                <w:sz w:val="22"/>
                <w:szCs w:val="22"/>
              </w:rPr>
              <w:t xml:space="preserve"> Specialised programmes working with small cohorts and individuals delivered in partnership with Manchester United. Established and successful programme at Copley Academy</w:t>
            </w:r>
            <w:r w:rsidR="00EF5A98" w:rsidRPr="007046AE">
              <w:rPr>
                <w:color w:val="auto"/>
                <w:sz w:val="22"/>
                <w:szCs w:val="22"/>
              </w:rPr>
              <w:t xml:space="preserve"> – case studies available</w:t>
            </w:r>
            <w:r w:rsidRPr="007046AE">
              <w:rPr>
                <w:color w:val="auto"/>
                <w:sz w:val="22"/>
                <w:szCs w:val="22"/>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53DB6" w:rsidRDefault="000B3585">
            <w:pPr>
              <w:pStyle w:val="TableRowCentered"/>
              <w:jc w:val="left"/>
              <w:rPr>
                <w:sz w:val="22"/>
                <w:szCs w:val="22"/>
              </w:rPr>
            </w:pPr>
            <w:r>
              <w:rPr>
                <w:sz w:val="22"/>
                <w:szCs w:val="22"/>
              </w:rPr>
              <w:t>4, 6</w:t>
            </w:r>
          </w:p>
        </w:tc>
      </w:tr>
      <w:tr w:rsidR="001D3F99"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Pr="000B3585" w:rsidRDefault="001D3F99" w:rsidP="001D3F99">
            <w:pPr>
              <w:pStyle w:val="TableRow"/>
              <w:ind w:left="0"/>
              <w:rPr>
                <w:sz w:val="22"/>
                <w:szCs w:val="22"/>
              </w:rPr>
            </w:pPr>
            <w:r w:rsidRPr="000B3585">
              <w:rPr>
                <w:color w:val="auto"/>
                <w:sz w:val="22"/>
                <w:szCs w:val="22"/>
              </w:rPr>
              <w:t xml:space="preserve">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 </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Pr="007046AE" w:rsidRDefault="001D3F99" w:rsidP="001D3F99">
            <w:pPr>
              <w:suppressAutoHyphens w:val="0"/>
              <w:autoSpaceDN/>
              <w:spacing w:before="60" w:after="60" w:line="240" w:lineRule="auto"/>
              <w:ind w:left="57" w:right="57"/>
              <w:rPr>
                <w:color w:val="auto"/>
                <w:sz w:val="22"/>
                <w:szCs w:val="22"/>
              </w:rPr>
            </w:pPr>
            <w:r w:rsidRPr="007046AE">
              <w:rPr>
                <w:color w:val="auto"/>
                <w:sz w:val="22"/>
                <w:szCs w:val="22"/>
              </w:rPr>
              <w:t>Tuition targeted at specific needs and knowledge gaps can be an effective method to support low attaining pupils or those falling behind, both one-to-one:</w:t>
            </w:r>
          </w:p>
          <w:p w:rsidR="001D3F99" w:rsidRPr="007046AE" w:rsidRDefault="0030130F" w:rsidP="001D3F99">
            <w:pPr>
              <w:suppressAutoHyphens w:val="0"/>
              <w:autoSpaceDN/>
              <w:spacing w:before="60" w:after="60" w:line="240" w:lineRule="auto"/>
              <w:ind w:left="57" w:right="57"/>
              <w:rPr>
                <w:color w:val="0070C0"/>
                <w:sz w:val="22"/>
                <w:szCs w:val="22"/>
              </w:rPr>
            </w:pPr>
            <w:hyperlink r:id="rId15" w:history="1">
              <w:r w:rsidR="001D3F99" w:rsidRPr="007046AE">
                <w:rPr>
                  <w:color w:val="0070C0"/>
                  <w:sz w:val="22"/>
                  <w:szCs w:val="22"/>
                  <w:u w:val="single"/>
                </w:rPr>
                <w:t>One to one tuition | EEF (educationendowmentfoundation.org.uk)</w:t>
              </w:r>
            </w:hyperlink>
          </w:p>
          <w:p w:rsidR="001D3F99" w:rsidRPr="007046AE" w:rsidRDefault="001D3F99" w:rsidP="001D3F99">
            <w:pPr>
              <w:suppressAutoHyphens w:val="0"/>
              <w:autoSpaceDN/>
              <w:spacing w:before="60" w:after="60" w:line="240" w:lineRule="auto"/>
              <w:ind w:left="57" w:right="57"/>
              <w:rPr>
                <w:color w:val="auto"/>
                <w:sz w:val="22"/>
                <w:szCs w:val="22"/>
              </w:rPr>
            </w:pPr>
            <w:r w:rsidRPr="007046AE">
              <w:rPr>
                <w:color w:val="auto"/>
                <w:sz w:val="22"/>
                <w:szCs w:val="22"/>
              </w:rPr>
              <w:t>And in small groups:</w:t>
            </w:r>
          </w:p>
          <w:p w:rsidR="001D3F99" w:rsidRDefault="0030130F" w:rsidP="001D3F99">
            <w:pPr>
              <w:pStyle w:val="TableRowCentered"/>
              <w:jc w:val="left"/>
              <w:rPr>
                <w:color w:val="0070C0"/>
                <w:sz w:val="22"/>
                <w:szCs w:val="22"/>
                <w:u w:val="single"/>
              </w:rPr>
            </w:pPr>
            <w:hyperlink r:id="rId16" w:history="1">
              <w:r w:rsidR="001D3F99" w:rsidRPr="007046AE">
                <w:rPr>
                  <w:color w:val="0070C0"/>
                  <w:sz w:val="22"/>
                  <w:szCs w:val="22"/>
                  <w:u w:val="single"/>
                </w:rPr>
                <w:t>Small group tuition | Toolkit Strand | Education Endowment Foundation | EEF</w:t>
              </w:r>
            </w:hyperlink>
          </w:p>
          <w:p w:rsidR="0075640C" w:rsidRDefault="0075640C" w:rsidP="0075640C">
            <w:pPr>
              <w:pStyle w:val="TableRowCentered"/>
              <w:jc w:val="left"/>
              <w:rPr>
                <w:sz w:val="22"/>
                <w:szCs w:val="22"/>
              </w:rPr>
            </w:pPr>
            <w:r w:rsidRPr="0075640C">
              <w:rPr>
                <w:sz w:val="22"/>
                <w:szCs w:val="22"/>
              </w:rPr>
              <w:t xml:space="preserve">Tutoring can also help pupils to build resilience. </w:t>
            </w:r>
          </w:p>
          <w:p w:rsidR="0075640C" w:rsidRPr="007046AE" w:rsidRDefault="0075640C" w:rsidP="0075640C">
            <w:pPr>
              <w:pStyle w:val="TableRowCentered"/>
              <w:jc w:val="left"/>
              <w:rPr>
                <w:sz w:val="22"/>
                <w:szCs w:val="22"/>
              </w:rPr>
            </w:pPr>
            <w:r w:rsidRPr="0075640C">
              <w:rPr>
                <w:sz w:val="22"/>
                <w:szCs w:val="22"/>
              </w:rPr>
              <w:t xml:space="preserve">Research by the Education Endowment Foundation (EEF) and National Foundation for Educational </w:t>
            </w:r>
            <w:r>
              <w:rPr>
                <w:sz w:val="22"/>
                <w:szCs w:val="22"/>
              </w:rPr>
              <w:t>r</w:t>
            </w:r>
            <w:r w:rsidRPr="0075640C">
              <w:rPr>
                <w:sz w:val="22"/>
                <w:szCs w:val="22"/>
              </w:rPr>
              <w:t>esearch shows that individual tuition builds pupils’ confidence and provides opportunities for staff to identify</w:t>
            </w:r>
            <w:r>
              <w:rPr>
                <w:sz w:val="22"/>
                <w:szCs w:val="22"/>
              </w:rPr>
              <w:t xml:space="preserve"> </w:t>
            </w:r>
            <w:r w:rsidRPr="0075640C">
              <w:rPr>
                <w:sz w:val="22"/>
                <w:szCs w:val="22"/>
              </w:rPr>
              <w:t>areas requiring specialist support. Many pupils find that tutoring offers a safe space to talk about concepts they have struggled with in the classroom.</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Pr="00853DB6" w:rsidRDefault="000B3585" w:rsidP="001D3F99">
            <w:pPr>
              <w:pStyle w:val="TableRowCentered"/>
              <w:jc w:val="left"/>
              <w:rPr>
                <w:sz w:val="22"/>
                <w:szCs w:val="22"/>
              </w:rPr>
            </w:pPr>
            <w:r>
              <w:rPr>
                <w:sz w:val="22"/>
                <w:szCs w:val="22"/>
              </w:rPr>
              <w:t xml:space="preserve">1, </w:t>
            </w:r>
          </w:p>
        </w:tc>
      </w:tr>
      <w:tr w:rsidR="001D3F99"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Pr="00853DB6" w:rsidRDefault="001D3F99" w:rsidP="001D3F99">
            <w:pPr>
              <w:pStyle w:val="TableRow"/>
              <w:rPr>
                <w:sz w:val="22"/>
                <w:szCs w:val="22"/>
              </w:rPr>
            </w:pPr>
            <w:r w:rsidRPr="00853DB6">
              <w:rPr>
                <w:sz w:val="22"/>
                <w:szCs w:val="22"/>
              </w:rPr>
              <w:t>GCSE</w:t>
            </w:r>
            <w:r w:rsidR="003E3483">
              <w:rPr>
                <w:sz w:val="22"/>
                <w:szCs w:val="22"/>
              </w:rPr>
              <w:t xml:space="preserve"> </w:t>
            </w:r>
            <w:r w:rsidRPr="00853DB6">
              <w:rPr>
                <w:sz w:val="22"/>
                <w:szCs w:val="22"/>
              </w:rPr>
              <w:t>pod/tailored revision material</w:t>
            </w:r>
            <w:r w:rsidR="000B3585">
              <w:rPr>
                <w:sz w:val="22"/>
                <w:szCs w:val="22"/>
              </w:rPr>
              <w:t xml:space="preserve"> for KS4 learners</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Default="001D3F99" w:rsidP="001D3F99">
            <w:pPr>
              <w:pStyle w:val="TableRowCentered"/>
              <w:jc w:val="left"/>
              <w:rPr>
                <w:color w:val="auto"/>
                <w:sz w:val="22"/>
                <w:szCs w:val="22"/>
              </w:rPr>
            </w:pPr>
            <w:r w:rsidRPr="000B3585">
              <w:rPr>
                <w:color w:val="auto"/>
                <w:sz w:val="22"/>
                <w:szCs w:val="22"/>
              </w:rPr>
              <w:t>GCSE</w:t>
            </w:r>
            <w:r w:rsidR="003E3483">
              <w:rPr>
                <w:color w:val="auto"/>
                <w:sz w:val="22"/>
                <w:szCs w:val="22"/>
              </w:rPr>
              <w:t xml:space="preserve"> </w:t>
            </w:r>
            <w:r w:rsidRPr="000B3585">
              <w:rPr>
                <w:color w:val="auto"/>
                <w:sz w:val="22"/>
                <w:szCs w:val="22"/>
              </w:rPr>
              <w:t xml:space="preserve">pod provides </w:t>
            </w:r>
            <w:r w:rsidRPr="007046AE">
              <w:rPr>
                <w:color w:val="auto"/>
                <w:sz w:val="22"/>
                <w:szCs w:val="22"/>
              </w:rPr>
              <w:t>individualised instruction</w:t>
            </w:r>
            <w:r w:rsidRPr="000B3585">
              <w:rPr>
                <w:color w:val="auto"/>
                <w:sz w:val="22"/>
                <w:szCs w:val="22"/>
              </w:rPr>
              <w:t xml:space="preserve"> - providing different tasks for each learner and support at the individual level (e.g. self-checking quiz activities). It is based on the idea that all learners have different needs, and that therefore an approach that is personally tailored — particularly in terms of the activities that pupils undertake and the pace at which they progress through the curriculum — will be more effective. Teachers and or pupils can select modules to be completed in order to address identified gaps. </w:t>
            </w:r>
          </w:p>
          <w:p w:rsidR="007046AE" w:rsidRDefault="0030130F" w:rsidP="001D3F99">
            <w:pPr>
              <w:pStyle w:val="TableRowCentered"/>
              <w:jc w:val="left"/>
              <w:rPr>
                <w:color w:val="FF0000"/>
                <w:sz w:val="22"/>
                <w:szCs w:val="22"/>
              </w:rPr>
            </w:pPr>
            <w:hyperlink r:id="rId17" w:history="1">
              <w:r w:rsidR="007046AE">
                <w:rPr>
                  <w:rStyle w:val="Hyperlink"/>
                </w:rPr>
                <w:t>Individualised instruction | EEF (educationendowmentfoundation.org.uk)</w:t>
              </w:r>
            </w:hyperlink>
          </w:p>
          <w:p w:rsidR="007046AE" w:rsidRPr="00853DB6" w:rsidRDefault="007046AE" w:rsidP="001D3F99">
            <w:pPr>
              <w:pStyle w:val="TableRowCentered"/>
              <w:jc w:val="left"/>
              <w:rPr>
                <w:color w:val="FF0000"/>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Pr="00853DB6" w:rsidRDefault="00B10C14" w:rsidP="001D3F99">
            <w:pPr>
              <w:pStyle w:val="TableRowCentered"/>
              <w:jc w:val="left"/>
              <w:rPr>
                <w:sz w:val="22"/>
                <w:szCs w:val="22"/>
              </w:rPr>
            </w:pPr>
            <w:r>
              <w:rPr>
                <w:sz w:val="22"/>
                <w:szCs w:val="22"/>
              </w:rPr>
              <w:t>1, 6</w:t>
            </w:r>
          </w:p>
        </w:tc>
      </w:tr>
      <w:tr w:rsidR="001D3F99"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300" w:rsidRDefault="001D3F99" w:rsidP="00A06300">
            <w:pPr>
              <w:pStyle w:val="TableRow"/>
              <w:rPr>
                <w:color w:val="auto"/>
                <w:sz w:val="22"/>
                <w:szCs w:val="22"/>
              </w:rPr>
            </w:pPr>
            <w:r w:rsidRPr="008946AA">
              <w:rPr>
                <w:color w:val="auto"/>
                <w:sz w:val="22"/>
                <w:szCs w:val="22"/>
              </w:rPr>
              <w:t>Adopting a targeted reciprocal teaching programme as a reading intervention for disadvantaged pupils who need additional help to comprehend texts and address vocabulary gaps.</w:t>
            </w:r>
            <w:r w:rsidR="008946AA">
              <w:rPr>
                <w:color w:val="auto"/>
                <w:sz w:val="22"/>
                <w:szCs w:val="22"/>
              </w:rPr>
              <w:t xml:space="preserve"> </w:t>
            </w:r>
          </w:p>
          <w:p w:rsidR="001D3F99" w:rsidRPr="00A06300" w:rsidRDefault="00A06300" w:rsidP="00A06300">
            <w:pPr>
              <w:pStyle w:val="TableRow"/>
              <w:rPr>
                <w:color w:val="auto"/>
                <w:sz w:val="22"/>
                <w:szCs w:val="22"/>
              </w:rPr>
            </w:pPr>
            <w:r>
              <w:rPr>
                <w:color w:val="auto"/>
                <w:sz w:val="22"/>
                <w:szCs w:val="22"/>
              </w:rPr>
              <w:lastRenderedPageBreak/>
              <w:t>T</w:t>
            </w:r>
            <w:r w:rsidR="008946AA">
              <w:rPr>
                <w:color w:val="auto"/>
                <w:sz w:val="22"/>
                <w:szCs w:val="22"/>
              </w:rPr>
              <w:t>ake place during form time, some PE/English lessons and P6s.</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Pr="008946AA" w:rsidRDefault="001D3F99" w:rsidP="001D3F99">
            <w:pPr>
              <w:suppressAutoHyphens w:val="0"/>
              <w:autoSpaceDN/>
              <w:spacing w:before="60" w:after="60" w:line="240" w:lineRule="auto"/>
              <w:ind w:left="57" w:right="57"/>
              <w:rPr>
                <w:rFonts w:cs="Arial"/>
                <w:color w:val="auto"/>
                <w:sz w:val="22"/>
                <w:szCs w:val="22"/>
              </w:rPr>
            </w:pPr>
            <w:r w:rsidRPr="008946AA">
              <w:rPr>
                <w:rFonts w:cs="Arial"/>
                <w:color w:val="auto"/>
                <w:sz w:val="22"/>
                <w:szCs w:val="22"/>
              </w:rPr>
              <w:lastRenderedPageBreak/>
              <w:t xml:space="preserve">Reading comprehension strategies can have a positive impact on pupils’ ability to understand a text, and this is particularly the case when interventions are delivered over a shorter timespan: </w:t>
            </w:r>
          </w:p>
          <w:p w:rsidR="001D3F99" w:rsidRPr="008946AA" w:rsidRDefault="0030130F" w:rsidP="001D3F99">
            <w:pPr>
              <w:pStyle w:val="TableRowCentered"/>
              <w:jc w:val="left"/>
              <w:rPr>
                <w:color w:val="FF0000"/>
                <w:sz w:val="22"/>
                <w:szCs w:val="22"/>
              </w:rPr>
            </w:pPr>
            <w:hyperlink r:id="rId18" w:history="1">
              <w:r w:rsidR="001D3F99" w:rsidRPr="008946AA">
                <w:rPr>
                  <w:color w:val="0070C0"/>
                  <w:sz w:val="22"/>
                  <w:szCs w:val="22"/>
                  <w:u w:val="single"/>
                </w:rPr>
                <w:t>Reading comprehension strategies | Toolkit Strand | Education Endowment Foundation | EEF</w:t>
              </w:r>
            </w:hyperlink>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3F99" w:rsidRPr="008946AA" w:rsidRDefault="00B10C14" w:rsidP="008946AA">
            <w:pPr>
              <w:pStyle w:val="TableRowCentered"/>
              <w:jc w:val="left"/>
              <w:rPr>
                <w:sz w:val="22"/>
                <w:szCs w:val="22"/>
              </w:rPr>
            </w:pPr>
            <w:r>
              <w:rPr>
                <w:sz w:val="22"/>
                <w:szCs w:val="22"/>
              </w:rPr>
              <w:t>1</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rsidRPr="00FB709A">
        <w:t>Budgeted c</w:t>
      </w:r>
      <w:r w:rsidR="003E3483">
        <w:t>ost: £1</w:t>
      </w:r>
      <w:r w:rsidR="005110B2">
        <w:t>14</w:t>
      </w:r>
      <w:r w:rsidR="003E3483">
        <w:t>,000</w:t>
      </w:r>
    </w:p>
    <w:tbl>
      <w:tblPr>
        <w:tblW w:w="5000" w:type="pct"/>
        <w:tblCellMar>
          <w:left w:w="10" w:type="dxa"/>
          <w:right w:w="10" w:type="dxa"/>
        </w:tblCellMar>
        <w:tblLook w:val="04A0" w:firstRow="1" w:lastRow="0" w:firstColumn="1" w:lastColumn="0" w:noHBand="0" w:noVBand="1"/>
      </w:tblPr>
      <w:tblGrid>
        <w:gridCol w:w="2849"/>
        <w:gridCol w:w="5651"/>
        <w:gridCol w:w="1554"/>
      </w:tblGrid>
      <w:tr w:rsidR="00E66558"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Activity</w:t>
            </w:r>
          </w:p>
        </w:tc>
        <w:tc>
          <w:tcPr>
            <w:tcW w:w="56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Evidence that supports this approach</w:t>
            </w:r>
          </w:p>
        </w:tc>
        <w:tc>
          <w:tcPr>
            <w:tcW w:w="15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853DB6" w:rsidRDefault="009D71E8">
            <w:pPr>
              <w:pStyle w:val="TableHeader"/>
              <w:jc w:val="left"/>
              <w:rPr>
                <w:sz w:val="22"/>
                <w:szCs w:val="22"/>
              </w:rPr>
            </w:pPr>
            <w:r w:rsidRPr="00853DB6">
              <w:rPr>
                <w:sz w:val="22"/>
                <w:szCs w:val="22"/>
              </w:rPr>
              <w:t>Challenge number(s) addressed</w:t>
            </w:r>
          </w:p>
        </w:tc>
      </w:tr>
      <w:tr w:rsidR="00AC1610"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38C" w:rsidRDefault="000E0038" w:rsidP="00B3638C">
            <w:pPr>
              <w:pStyle w:val="TableRowCentered"/>
              <w:jc w:val="left"/>
              <w:rPr>
                <w:sz w:val="22"/>
                <w:szCs w:val="22"/>
              </w:rPr>
            </w:pPr>
            <w:r>
              <w:rPr>
                <w:sz w:val="22"/>
                <w:szCs w:val="22"/>
              </w:rPr>
              <w:t>Additional attendance officer app</w:t>
            </w:r>
            <w:r w:rsidR="00B3638C">
              <w:rPr>
                <w:sz w:val="22"/>
                <w:szCs w:val="22"/>
              </w:rPr>
              <w:t>ointed to improve attendance at the academy.</w:t>
            </w:r>
            <w:r w:rsidR="00B3638C" w:rsidRPr="00853DB6">
              <w:rPr>
                <w:sz w:val="22"/>
                <w:szCs w:val="22"/>
              </w:rPr>
              <w:t xml:space="preserve"> </w:t>
            </w:r>
          </w:p>
          <w:p w:rsidR="006678F9" w:rsidRPr="00853DB6" w:rsidRDefault="006678F9" w:rsidP="006678F9">
            <w:pPr>
              <w:pStyle w:val="TableRowCentered"/>
              <w:numPr>
                <w:ilvl w:val="0"/>
                <w:numId w:val="28"/>
              </w:numPr>
              <w:ind w:left="173" w:hanging="179"/>
              <w:jc w:val="left"/>
              <w:rPr>
                <w:sz w:val="22"/>
                <w:szCs w:val="22"/>
              </w:rPr>
            </w:pPr>
            <w:r>
              <w:rPr>
                <w:sz w:val="22"/>
                <w:szCs w:val="22"/>
              </w:rPr>
              <w:t>Targeted bespoke work to support PA families</w:t>
            </w:r>
          </w:p>
          <w:p w:rsidR="006678F9" w:rsidRDefault="006678F9" w:rsidP="00B3638C">
            <w:pPr>
              <w:pStyle w:val="TableRowCentered"/>
              <w:numPr>
                <w:ilvl w:val="0"/>
                <w:numId w:val="28"/>
              </w:numPr>
              <w:ind w:left="173" w:hanging="179"/>
              <w:jc w:val="left"/>
              <w:rPr>
                <w:sz w:val="22"/>
                <w:szCs w:val="22"/>
              </w:rPr>
            </w:pPr>
            <w:r>
              <w:rPr>
                <w:sz w:val="22"/>
                <w:szCs w:val="22"/>
              </w:rPr>
              <w:t>Prioritises PP pupils/visits</w:t>
            </w:r>
          </w:p>
          <w:p w:rsidR="006678F9" w:rsidRDefault="006678F9" w:rsidP="00B3638C">
            <w:pPr>
              <w:pStyle w:val="TableRowCentered"/>
              <w:numPr>
                <w:ilvl w:val="0"/>
                <w:numId w:val="28"/>
              </w:numPr>
              <w:ind w:left="173" w:hanging="179"/>
              <w:jc w:val="left"/>
              <w:rPr>
                <w:sz w:val="22"/>
                <w:szCs w:val="22"/>
              </w:rPr>
            </w:pPr>
            <w:r>
              <w:rPr>
                <w:sz w:val="22"/>
                <w:szCs w:val="22"/>
              </w:rPr>
              <w:t>Hardship fund to support improved attendance</w:t>
            </w:r>
          </w:p>
          <w:p w:rsidR="00AC1610" w:rsidRPr="00853DB6" w:rsidRDefault="006678F9" w:rsidP="00B3638C">
            <w:pPr>
              <w:pStyle w:val="TableRowCentered"/>
              <w:numPr>
                <w:ilvl w:val="0"/>
                <w:numId w:val="28"/>
              </w:numPr>
              <w:ind w:left="173" w:hanging="179"/>
              <w:jc w:val="left"/>
              <w:rPr>
                <w:sz w:val="22"/>
                <w:szCs w:val="22"/>
              </w:rPr>
            </w:pPr>
            <w:r>
              <w:rPr>
                <w:sz w:val="22"/>
                <w:szCs w:val="22"/>
              </w:rPr>
              <w:t xml:space="preserve">Relaunch rewards system </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38C" w:rsidRPr="00B3638C" w:rsidRDefault="00B3638C" w:rsidP="00B3638C">
            <w:pPr>
              <w:pStyle w:val="TableRow"/>
              <w:spacing w:after="120"/>
              <w:ind w:left="29"/>
              <w:rPr>
                <w:iCs/>
                <w:color w:val="auto"/>
                <w:sz w:val="22"/>
                <w:szCs w:val="22"/>
                <w:lang w:val="en-US"/>
              </w:rPr>
            </w:pPr>
            <w:r w:rsidRPr="00B3638C">
              <w:rPr>
                <w:iCs/>
                <w:color w:val="auto"/>
                <w:sz w:val="22"/>
                <w:szCs w:val="22"/>
                <w:lang w:val="en-US"/>
              </w:rPr>
              <w:t xml:space="preserve">Embedding principles of good practice set out in DfE’s </w:t>
            </w:r>
            <w:hyperlink r:id="rId19" w:history="1">
              <w:r w:rsidRPr="00B3638C">
                <w:rPr>
                  <w:rStyle w:val="Hyperlink"/>
                  <w:iCs/>
                  <w:color w:val="0070C0"/>
                  <w:sz w:val="22"/>
                  <w:szCs w:val="22"/>
                  <w:lang w:val="en-US"/>
                </w:rPr>
                <w:t>Improving School Attendance</w:t>
              </w:r>
            </w:hyperlink>
            <w:r w:rsidRPr="00B3638C">
              <w:rPr>
                <w:iCs/>
                <w:color w:val="0070C0"/>
                <w:sz w:val="22"/>
                <w:szCs w:val="22"/>
                <w:lang w:val="en-US"/>
              </w:rPr>
              <w:t xml:space="preserve"> </w:t>
            </w:r>
            <w:r w:rsidRPr="00B3638C">
              <w:rPr>
                <w:iCs/>
                <w:color w:val="auto"/>
                <w:sz w:val="22"/>
                <w:szCs w:val="22"/>
                <w:lang w:val="en-US"/>
              </w:rPr>
              <w:t>advice.</w:t>
            </w:r>
          </w:p>
          <w:p w:rsidR="00B3638C" w:rsidRDefault="00B3638C" w:rsidP="00B3638C">
            <w:pPr>
              <w:pStyle w:val="TableRow"/>
              <w:spacing w:after="120"/>
              <w:ind w:left="29"/>
              <w:rPr>
                <w:sz w:val="22"/>
                <w:szCs w:val="22"/>
              </w:rPr>
            </w:pPr>
            <w:r w:rsidRPr="00B3638C">
              <w:rPr>
                <w:color w:val="auto"/>
                <w:sz w:val="22"/>
                <w:szCs w:val="22"/>
              </w:rPr>
              <w:t>The DfE guidance has been informed by engagement with schools that have significantly reduced persistent absence levels.</w:t>
            </w:r>
            <w:r w:rsidRPr="00853DB6">
              <w:rPr>
                <w:sz w:val="22"/>
                <w:szCs w:val="22"/>
              </w:rPr>
              <w:t xml:space="preserve"> </w:t>
            </w:r>
          </w:p>
          <w:p w:rsidR="00B3638C" w:rsidRDefault="00B3638C" w:rsidP="00B3638C">
            <w:pPr>
              <w:pStyle w:val="TableRow"/>
              <w:spacing w:after="120"/>
              <w:ind w:left="0"/>
              <w:rPr>
                <w:sz w:val="22"/>
                <w:szCs w:val="22"/>
              </w:rPr>
            </w:pPr>
            <w:r>
              <w:rPr>
                <w:sz w:val="22"/>
                <w:szCs w:val="22"/>
              </w:rPr>
              <w:t>Our previous data suggests that t</w:t>
            </w:r>
            <w:r w:rsidRPr="00853DB6">
              <w:rPr>
                <w:sz w:val="22"/>
                <w:szCs w:val="22"/>
              </w:rPr>
              <w:t>here is a direct link between good attendance and better outcomes for pup</w:t>
            </w:r>
            <w:r>
              <w:rPr>
                <w:sz w:val="22"/>
                <w:szCs w:val="22"/>
              </w:rPr>
              <w:t>ils</w:t>
            </w:r>
            <w:r w:rsidRPr="00853DB6">
              <w:rPr>
                <w:sz w:val="22"/>
                <w:szCs w:val="22"/>
              </w:rPr>
              <w:t xml:space="preserve">. </w:t>
            </w:r>
            <w:r>
              <w:rPr>
                <w:sz w:val="22"/>
                <w:szCs w:val="22"/>
              </w:rPr>
              <w:t>Also,</w:t>
            </w:r>
            <w:r w:rsidRPr="00853DB6">
              <w:rPr>
                <w:sz w:val="22"/>
                <w:szCs w:val="22"/>
              </w:rPr>
              <w:t xml:space="preserve"> that it is much harder to engaged with </w:t>
            </w:r>
            <w:r>
              <w:rPr>
                <w:sz w:val="22"/>
                <w:szCs w:val="22"/>
              </w:rPr>
              <w:t>and improve the attendance of</w:t>
            </w:r>
            <w:r w:rsidRPr="00853DB6">
              <w:rPr>
                <w:sz w:val="22"/>
                <w:szCs w:val="22"/>
              </w:rPr>
              <w:t xml:space="preserve"> pupils</w:t>
            </w:r>
            <w:r>
              <w:rPr>
                <w:sz w:val="22"/>
                <w:szCs w:val="22"/>
              </w:rPr>
              <w:t xml:space="preserve"> once classed as PA</w:t>
            </w:r>
            <w:r w:rsidR="0075640C">
              <w:rPr>
                <w:sz w:val="22"/>
                <w:szCs w:val="22"/>
              </w:rPr>
              <w:t xml:space="preserve"> – therefore the work of our attendance team is designed to prevent pupils from reaching this threshold</w:t>
            </w:r>
            <w:r w:rsidRPr="00853DB6">
              <w:rPr>
                <w:sz w:val="22"/>
                <w:szCs w:val="22"/>
              </w:rPr>
              <w:t xml:space="preserve">.  </w:t>
            </w:r>
          </w:p>
          <w:p w:rsidR="00AC1610" w:rsidRPr="00B3638C" w:rsidRDefault="00AC1610" w:rsidP="007469F1">
            <w:pPr>
              <w:pStyle w:val="TableRowCentered"/>
              <w:ind w:left="0"/>
              <w:jc w:val="left"/>
              <w:rPr>
                <w:color w:val="auto"/>
                <w:sz w:val="22"/>
                <w:szCs w:val="22"/>
              </w:rPr>
            </w:pPr>
          </w:p>
          <w:p w:rsidR="00B3638C" w:rsidRPr="00853DB6" w:rsidRDefault="00B3638C" w:rsidP="0075640C">
            <w:pPr>
              <w:pStyle w:val="TableRow"/>
              <w:spacing w:after="120"/>
              <w:ind w:left="0"/>
              <w:rPr>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610" w:rsidRPr="00853DB6" w:rsidRDefault="00B10C14">
            <w:pPr>
              <w:pStyle w:val="TableRowCentered"/>
              <w:jc w:val="left"/>
              <w:rPr>
                <w:sz w:val="22"/>
                <w:szCs w:val="22"/>
              </w:rPr>
            </w:pPr>
            <w:r>
              <w:rPr>
                <w:sz w:val="22"/>
                <w:szCs w:val="22"/>
              </w:rPr>
              <w:t>2, 3, 4</w:t>
            </w:r>
          </w:p>
        </w:tc>
      </w:tr>
      <w:tr w:rsidR="00AC1610"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BB9" w:rsidRDefault="000E0038" w:rsidP="002B6351">
            <w:pPr>
              <w:pStyle w:val="TableRowCentered"/>
              <w:ind w:left="0"/>
              <w:jc w:val="left"/>
              <w:rPr>
                <w:sz w:val="22"/>
                <w:szCs w:val="22"/>
              </w:rPr>
            </w:pPr>
            <w:r>
              <w:rPr>
                <w:sz w:val="22"/>
                <w:szCs w:val="22"/>
              </w:rPr>
              <w:t>Appointed additional full-time safeguarding role with 50% focus on</w:t>
            </w:r>
            <w:r w:rsidR="00AC1610" w:rsidRPr="00853DB6">
              <w:rPr>
                <w:sz w:val="22"/>
                <w:szCs w:val="22"/>
              </w:rPr>
              <w:t xml:space="preserve"> PP pupils</w:t>
            </w:r>
            <w:r>
              <w:rPr>
                <w:sz w:val="22"/>
                <w:szCs w:val="22"/>
              </w:rPr>
              <w:t xml:space="preserve"> support</w:t>
            </w:r>
            <w:r w:rsidR="002B6351">
              <w:rPr>
                <w:sz w:val="22"/>
                <w:szCs w:val="22"/>
              </w:rPr>
              <w:t xml:space="preserve">. </w:t>
            </w:r>
          </w:p>
          <w:p w:rsidR="00187BB9" w:rsidRPr="00187BB9" w:rsidRDefault="00187BB9" w:rsidP="002B6351">
            <w:pPr>
              <w:pStyle w:val="TableRowCentered"/>
              <w:ind w:left="0"/>
              <w:jc w:val="left"/>
              <w:rPr>
                <w:sz w:val="22"/>
                <w:szCs w:val="22"/>
              </w:rPr>
            </w:pPr>
          </w:p>
          <w:p w:rsidR="002B6351" w:rsidRDefault="002B6351" w:rsidP="002B6351">
            <w:pPr>
              <w:pStyle w:val="TableRowCentered"/>
              <w:ind w:left="0"/>
              <w:jc w:val="left"/>
              <w:rPr>
                <w:sz w:val="22"/>
                <w:szCs w:val="22"/>
              </w:rPr>
            </w:pPr>
            <w:r w:rsidRPr="00187BB9">
              <w:rPr>
                <w:sz w:val="22"/>
                <w:szCs w:val="22"/>
              </w:rPr>
              <w:t>This role is focused around in</w:t>
            </w:r>
            <w:r w:rsidR="00187BB9" w:rsidRPr="00187BB9">
              <w:rPr>
                <w:sz w:val="22"/>
                <w:szCs w:val="22"/>
              </w:rPr>
              <w:t>-</w:t>
            </w:r>
            <w:r w:rsidRPr="00187BB9">
              <w:rPr>
                <w:sz w:val="22"/>
                <w:szCs w:val="22"/>
              </w:rPr>
              <w:t>school mentoring and (at the same time) developing positive parent- school relationships, supporting parents to support their child</w:t>
            </w:r>
            <w:r w:rsidR="00187BB9" w:rsidRPr="00187BB9">
              <w:rPr>
                <w:sz w:val="22"/>
                <w:szCs w:val="22"/>
              </w:rPr>
              <w:t xml:space="preserve"> etc.</w:t>
            </w:r>
          </w:p>
          <w:p w:rsidR="00AC1610" w:rsidRPr="00853DB6" w:rsidRDefault="00AC1610" w:rsidP="000E0038">
            <w:pPr>
              <w:pStyle w:val="TableRowCentered"/>
              <w:ind w:left="0"/>
              <w:jc w:val="left"/>
              <w:rPr>
                <w:sz w:val="22"/>
                <w:szCs w:val="22"/>
              </w:rPr>
            </w:pP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BB9" w:rsidRPr="00187BB9" w:rsidRDefault="00187BB9" w:rsidP="00187BB9">
            <w:pPr>
              <w:pStyle w:val="TableRowCentered"/>
              <w:ind w:left="0"/>
              <w:jc w:val="left"/>
              <w:rPr>
                <w:sz w:val="22"/>
                <w:szCs w:val="22"/>
                <w:highlight w:val="yellow"/>
              </w:rPr>
            </w:pPr>
            <w:r w:rsidRPr="00187BB9">
              <w:rPr>
                <w:sz w:val="22"/>
                <w:szCs w:val="22"/>
              </w:rPr>
              <w:t xml:space="preserve">Every pupil should have a supportive relationship with a member of school staff. </w:t>
            </w:r>
            <w:r>
              <w:rPr>
                <w:sz w:val="22"/>
                <w:szCs w:val="22"/>
              </w:rPr>
              <w:t xml:space="preserve">Bespoke mentoring / coaching /guidance can help to enhance the pupil’s experience of school and support improved engagement and raised aspirations. </w:t>
            </w:r>
          </w:p>
          <w:p w:rsidR="00187BB9" w:rsidRPr="00187BB9" w:rsidRDefault="0030130F" w:rsidP="00187BB9">
            <w:pPr>
              <w:pStyle w:val="TableRowCentered"/>
              <w:jc w:val="left"/>
              <w:rPr>
                <w:sz w:val="22"/>
                <w:szCs w:val="22"/>
              </w:rPr>
            </w:pPr>
            <w:hyperlink r:id="rId20" w:history="1">
              <w:r w:rsidR="00187BB9" w:rsidRPr="00187BB9">
                <w:rPr>
                  <w:rStyle w:val="Hyperlink"/>
                  <w:sz w:val="22"/>
                  <w:szCs w:val="22"/>
                </w:rPr>
                <w:t>Improving Behaviour in Schools | EEF (educationendowmentfoundation.org.uk)</w:t>
              </w:r>
            </w:hyperlink>
          </w:p>
          <w:p w:rsidR="00187BB9" w:rsidRPr="00187BB9" w:rsidRDefault="00187BB9" w:rsidP="00187BB9">
            <w:pPr>
              <w:pStyle w:val="TableRowCentered"/>
              <w:jc w:val="left"/>
              <w:rPr>
                <w:sz w:val="22"/>
                <w:szCs w:val="22"/>
              </w:rPr>
            </w:pPr>
          </w:p>
          <w:p w:rsidR="00187BB9" w:rsidRPr="00187BB9" w:rsidRDefault="00187BB9" w:rsidP="00187BB9">
            <w:pPr>
              <w:pStyle w:val="TableRowCentered"/>
              <w:jc w:val="left"/>
              <w:rPr>
                <w:sz w:val="22"/>
                <w:szCs w:val="22"/>
              </w:rPr>
            </w:pPr>
            <w:r w:rsidRPr="00187BB9">
              <w:rPr>
                <w:sz w:val="22"/>
                <w:szCs w:val="22"/>
              </w:rPr>
              <w:t xml:space="preserve">Parents play a crucial role in supporting their children’s learning, and levels of parental engagement are consistently associated with better academic outcomes. Evidence from the EEF Teaching and Learning Toolkit suggests that effective parental engagement can lead to learning gains of +3 months over the course of a year. Support </w:t>
            </w:r>
            <w:r>
              <w:rPr>
                <w:sz w:val="22"/>
                <w:szCs w:val="22"/>
              </w:rPr>
              <w:t xml:space="preserve">may include advice about how to </w:t>
            </w:r>
            <w:r w:rsidRPr="00187BB9">
              <w:rPr>
                <w:sz w:val="22"/>
                <w:szCs w:val="22"/>
              </w:rPr>
              <w:t xml:space="preserve">create a regular routine and encourage good homework habits, </w:t>
            </w:r>
            <w:r>
              <w:rPr>
                <w:sz w:val="22"/>
                <w:szCs w:val="22"/>
              </w:rPr>
              <w:t>helping p</w:t>
            </w:r>
            <w:r w:rsidRPr="00187BB9">
              <w:rPr>
                <w:sz w:val="22"/>
                <w:szCs w:val="22"/>
              </w:rPr>
              <w:t xml:space="preserve">arents </w:t>
            </w:r>
            <w:r>
              <w:rPr>
                <w:sz w:val="22"/>
                <w:szCs w:val="22"/>
              </w:rPr>
              <w:t>to</w:t>
            </w:r>
            <w:r w:rsidRPr="00187BB9">
              <w:rPr>
                <w:sz w:val="22"/>
                <w:szCs w:val="22"/>
              </w:rPr>
              <w:t xml:space="preserve"> support their children by encouraging them to set goals, plan and manage their time and emotions. </w:t>
            </w:r>
          </w:p>
          <w:p w:rsidR="0075640C" w:rsidRPr="00187BB9" w:rsidRDefault="0030130F" w:rsidP="00187BB9">
            <w:pPr>
              <w:pStyle w:val="TableRowCentered"/>
              <w:ind w:left="0"/>
              <w:jc w:val="left"/>
              <w:rPr>
                <w:sz w:val="22"/>
                <w:szCs w:val="22"/>
              </w:rPr>
            </w:pPr>
            <w:hyperlink r:id="rId21" w:history="1">
              <w:r w:rsidR="00187BB9" w:rsidRPr="00187BB9">
                <w:rPr>
                  <w:rStyle w:val="Hyperlink"/>
                  <w:sz w:val="22"/>
                  <w:szCs w:val="22"/>
                </w:rPr>
                <w:t>Working with Parents to Support Children's Learning | EEF (educationendowmentfoundation.org.uk)</w:t>
              </w:r>
            </w:hyperlink>
            <w:r w:rsidR="00187BB9" w:rsidRPr="00187BB9">
              <w:rPr>
                <w:sz w:val="22"/>
                <w:szCs w:val="22"/>
              </w:rPr>
              <w:t xml:space="preserve"> </w:t>
            </w:r>
          </w:p>
          <w:p w:rsidR="00AC1610" w:rsidRPr="00187BB9" w:rsidRDefault="00AC1610" w:rsidP="00187BB9">
            <w:pPr>
              <w:pStyle w:val="TableRowCentered"/>
              <w:ind w:left="0"/>
              <w:jc w:val="left"/>
              <w:rPr>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610" w:rsidRPr="00853DB6" w:rsidRDefault="00B10C14">
            <w:pPr>
              <w:pStyle w:val="TableRowCentered"/>
              <w:jc w:val="left"/>
              <w:rPr>
                <w:sz w:val="22"/>
                <w:szCs w:val="22"/>
              </w:rPr>
            </w:pPr>
            <w:r>
              <w:rPr>
                <w:sz w:val="22"/>
                <w:szCs w:val="22"/>
              </w:rPr>
              <w:t>2, 3, 4</w:t>
            </w:r>
          </w:p>
        </w:tc>
      </w:tr>
      <w:tr w:rsidR="007C034C"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34C" w:rsidRDefault="007C034C" w:rsidP="000E0038">
            <w:pPr>
              <w:pStyle w:val="TableRowCentered"/>
              <w:ind w:left="0"/>
              <w:jc w:val="left"/>
              <w:rPr>
                <w:sz w:val="22"/>
                <w:szCs w:val="22"/>
              </w:rPr>
            </w:pPr>
            <w:r w:rsidRPr="002B6351">
              <w:rPr>
                <w:sz w:val="22"/>
              </w:rPr>
              <w:t>Positive Steps – career</w:t>
            </w:r>
            <w:r w:rsidR="002B6351">
              <w:rPr>
                <w:sz w:val="22"/>
              </w:rPr>
              <w:t xml:space="preserve">s </w:t>
            </w:r>
            <w:r w:rsidRPr="002B6351">
              <w:rPr>
                <w:sz w:val="22"/>
              </w:rPr>
              <w:t xml:space="preserve">and KS5 transition advice. </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E1A" w:rsidRDefault="002B6351" w:rsidP="00987E1A">
            <w:pPr>
              <w:pStyle w:val="TableRowCentered"/>
              <w:jc w:val="left"/>
              <w:rPr>
                <w:sz w:val="22"/>
                <w:szCs w:val="22"/>
              </w:rPr>
            </w:pPr>
            <w:r w:rsidRPr="002B6351">
              <w:rPr>
                <w:sz w:val="22"/>
                <w:szCs w:val="22"/>
              </w:rPr>
              <w:t xml:space="preserve">Careers education can be crucial in developing the knowledge, confidence and skills young people need to make well informed, relevant choices and plans for their future. This is especially true of students from poorer backgrounds, who are less likely to have family </w:t>
            </w:r>
            <w:r w:rsidRPr="002B6351">
              <w:rPr>
                <w:sz w:val="22"/>
                <w:szCs w:val="22"/>
              </w:rPr>
              <w:lastRenderedPageBreak/>
              <w:t xml:space="preserve">or friends with the insight and expertise to offer advice. High quality careers education can help them progress smoothly into further learning and work. </w:t>
            </w:r>
          </w:p>
          <w:p w:rsidR="00987E1A" w:rsidRDefault="0030130F" w:rsidP="00987E1A">
            <w:pPr>
              <w:pStyle w:val="TableRowCentered"/>
              <w:jc w:val="left"/>
              <w:rPr>
                <w:sz w:val="22"/>
                <w:szCs w:val="22"/>
              </w:rPr>
            </w:pPr>
            <w:hyperlink r:id="rId22" w:history="1">
              <w:r w:rsidR="002B6351" w:rsidRPr="002B6351">
                <w:rPr>
                  <w:rStyle w:val="Hyperlink"/>
                  <w:sz w:val="22"/>
                  <w:szCs w:val="22"/>
                </w:rPr>
                <w:t>Careers education | EEF (educationendowmentfoundation.org.uk)</w:t>
              </w:r>
            </w:hyperlink>
            <w:r w:rsidR="002B6351" w:rsidRPr="002B6351">
              <w:rPr>
                <w:sz w:val="22"/>
                <w:szCs w:val="22"/>
              </w:rPr>
              <w:t xml:space="preserve"> </w:t>
            </w:r>
          </w:p>
          <w:p w:rsidR="00987E1A" w:rsidRDefault="00987E1A" w:rsidP="00987E1A">
            <w:pPr>
              <w:pStyle w:val="TableRowCentered"/>
              <w:jc w:val="left"/>
              <w:rPr>
                <w:sz w:val="22"/>
                <w:szCs w:val="22"/>
              </w:rPr>
            </w:pPr>
          </w:p>
          <w:p w:rsidR="007C034C" w:rsidRPr="00987E1A" w:rsidRDefault="007C034C" w:rsidP="00987E1A">
            <w:pPr>
              <w:pStyle w:val="TableRowCentered"/>
              <w:jc w:val="left"/>
              <w:rPr>
                <w:sz w:val="22"/>
                <w:szCs w:val="22"/>
              </w:rPr>
            </w:pPr>
            <w:r w:rsidRPr="002B6351">
              <w:rPr>
                <w:sz w:val="22"/>
                <w:szCs w:val="22"/>
              </w:rPr>
              <w:t>Pupils can lack of awareness of possible ‘next steps’ (</w:t>
            </w:r>
            <w:r w:rsidR="002B6351" w:rsidRPr="002B6351">
              <w:rPr>
                <w:sz w:val="22"/>
                <w:szCs w:val="22"/>
              </w:rPr>
              <w:t>KS</w:t>
            </w:r>
            <w:r w:rsidRPr="002B6351">
              <w:rPr>
                <w:sz w:val="22"/>
                <w:szCs w:val="22"/>
              </w:rPr>
              <w:t>4-5 transition) / low aspiration / low motivation to secure next step arrangement</w:t>
            </w:r>
            <w:r w:rsidR="002B6351" w:rsidRPr="002B6351">
              <w:rPr>
                <w:sz w:val="22"/>
                <w:szCs w:val="22"/>
              </w:rPr>
              <w:t xml:space="preserve"> – 1:1 and small group support has been shown to overcome this.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34C" w:rsidRDefault="002B6351">
            <w:pPr>
              <w:pStyle w:val="TableRowCentered"/>
              <w:jc w:val="left"/>
              <w:rPr>
                <w:sz w:val="22"/>
                <w:szCs w:val="22"/>
              </w:rPr>
            </w:pPr>
            <w:r>
              <w:rPr>
                <w:sz w:val="22"/>
                <w:szCs w:val="22"/>
              </w:rPr>
              <w:lastRenderedPageBreak/>
              <w:t>1,3,4,5</w:t>
            </w:r>
          </w:p>
        </w:tc>
      </w:tr>
      <w:tr w:rsidR="00A87793"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793" w:rsidRPr="002B6351" w:rsidRDefault="00A87793" w:rsidP="00A87793">
            <w:pPr>
              <w:pStyle w:val="TableRowCentered"/>
              <w:ind w:left="0"/>
              <w:jc w:val="left"/>
              <w:rPr>
                <w:sz w:val="22"/>
              </w:rPr>
            </w:pPr>
            <w:r>
              <w:rPr>
                <w:sz w:val="22"/>
                <w:szCs w:val="22"/>
              </w:rPr>
              <w:lastRenderedPageBreak/>
              <w:t>LPSO / Lighthouse mentoring programme for those at risk of underachieving/exclusion</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793" w:rsidRDefault="00A87793" w:rsidP="00A87793">
            <w:pPr>
              <w:pStyle w:val="TableRowCentered"/>
              <w:ind w:left="0"/>
              <w:jc w:val="left"/>
              <w:rPr>
                <w:sz w:val="22"/>
                <w:szCs w:val="22"/>
                <w:highlight w:val="yellow"/>
              </w:rPr>
            </w:pPr>
            <w:r w:rsidRPr="0075640C">
              <w:rPr>
                <w:sz w:val="22"/>
                <w:szCs w:val="22"/>
              </w:rPr>
              <w:t>Universal behaviour systems are unlikely to meet the needs of all students</w:t>
            </w:r>
            <w:r>
              <w:rPr>
                <w:sz w:val="22"/>
                <w:szCs w:val="22"/>
              </w:rPr>
              <w:t xml:space="preserve"> - f</w:t>
            </w:r>
            <w:r w:rsidRPr="0075640C">
              <w:rPr>
                <w:sz w:val="22"/>
                <w:szCs w:val="22"/>
              </w:rPr>
              <w:t>or pupils with more challenging behaviour, the approach should be tailored to individual needs</w:t>
            </w:r>
            <w:r>
              <w:rPr>
                <w:sz w:val="22"/>
                <w:szCs w:val="22"/>
              </w:rPr>
              <w:t>. Individualised behaviour interventions are used in order to better k</w:t>
            </w:r>
            <w:r w:rsidRPr="0075640C">
              <w:rPr>
                <w:sz w:val="22"/>
                <w:szCs w:val="22"/>
              </w:rPr>
              <w:t>now and understand pupils and their influences</w:t>
            </w:r>
            <w:r>
              <w:rPr>
                <w:sz w:val="22"/>
                <w:szCs w:val="22"/>
              </w:rPr>
              <w:t xml:space="preserve">. </w:t>
            </w:r>
            <w:r w:rsidRPr="0075640C">
              <w:rPr>
                <w:sz w:val="22"/>
                <w:szCs w:val="22"/>
              </w:rPr>
              <w:t xml:space="preserve">Understanding a pupil’s context will inform </w:t>
            </w:r>
            <w:r>
              <w:rPr>
                <w:sz w:val="22"/>
                <w:szCs w:val="22"/>
              </w:rPr>
              <w:t xml:space="preserve">more </w:t>
            </w:r>
            <w:r w:rsidRPr="0075640C">
              <w:rPr>
                <w:sz w:val="22"/>
                <w:szCs w:val="22"/>
              </w:rPr>
              <w:t>effective responses to misbehaviour.</w:t>
            </w:r>
            <w:r>
              <w:rPr>
                <w:sz w:val="22"/>
                <w:szCs w:val="22"/>
              </w:rPr>
              <w:t xml:space="preserve"> </w:t>
            </w:r>
            <w:r w:rsidRPr="0075640C">
              <w:rPr>
                <w:sz w:val="22"/>
                <w:szCs w:val="22"/>
              </w:rPr>
              <w:t>Every pupil should have a supportive relationship with a member of school staff.</w:t>
            </w:r>
          </w:p>
          <w:p w:rsidR="00A87793" w:rsidRPr="002B6351" w:rsidRDefault="0030130F" w:rsidP="00A87793">
            <w:pPr>
              <w:pStyle w:val="TableRowCentered"/>
              <w:jc w:val="left"/>
              <w:rPr>
                <w:sz w:val="22"/>
                <w:szCs w:val="22"/>
              </w:rPr>
            </w:pPr>
            <w:hyperlink r:id="rId23" w:history="1">
              <w:r w:rsidR="00A87793">
                <w:rPr>
                  <w:rStyle w:val="Hyperlink"/>
                </w:rPr>
                <w:t>Improving Behaviour in Schools | EEF (educationendowmentfoundation.org.uk)</w:t>
              </w:r>
            </w:hyperlink>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793" w:rsidRDefault="00A87793" w:rsidP="00A87793">
            <w:pPr>
              <w:pStyle w:val="TableRowCentered"/>
              <w:jc w:val="left"/>
              <w:rPr>
                <w:sz w:val="22"/>
                <w:szCs w:val="22"/>
              </w:rPr>
            </w:pPr>
            <w:r>
              <w:rPr>
                <w:sz w:val="22"/>
                <w:szCs w:val="22"/>
              </w:rPr>
              <w:t xml:space="preserve">2, 3, 4, 5 </w:t>
            </w:r>
          </w:p>
        </w:tc>
      </w:tr>
      <w:tr w:rsidR="008C631D"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31D" w:rsidRPr="00853DB6" w:rsidRDefault="008C631D" w:rsidP="008C631D">
            <w:pPr>
              <w:pStyle w:val="TableRow"/>
              <w:ind w:left="0"/>
              <w:rPr>
                <w:sz w:val="22"/>
                <w:szCs w:val="22"/>
              </w:rPr>
            </w:pPr>
            <w:r w:rsidRPr="00853DB6">
              <w:rPr>
                <w:sz w:val="22"/>
                <w:szCs w:val="22"/>
              </w:rPr>
              <w:t>Ensure Y7 PP pupils have access to laptop and internet if they have to isolate due to COVID-19</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31D" w:rsidRPr="00853DB6" w:rsidRDefault="007C034C" w:rsidP="008C631D">
            <w:pPr>
              <w:pStyle w:val="TableRowCentered"/>
              <w:jc w:val="left"/>
              <w:rPr>
                <w:sz w:val="22"/>
                <w:szCs w:val="22"/>
              </w:rPr>
            </w:pPr>
            <w:r>
              <w:rPr>
                <w:sz w:val="22"/>
                <w:szCs w:val="22"/>
              </w:rPr>
              <w:t xml:space="preserve">Internal surveys (from 2019/20) suggest that pupils accessing PP are less likely to have ICT facilities and internet access than other pupils. </w:t>
            </w:r>
            <w:r w:rsidR="008C631D" w:rsidRPr="00853DB6">
              <w:rPr>
                <w:sz w:val="22"/>
                <w:szCs w:val="22"/>
              </w:rPr>
              <w:t xml:space="preserve">The gap for PP pupils grows when they need to isolate if they do not have access to sufficient online </w:t>
            </w:r>
            <w:r w:rsidR="00EF3359" w:rsidRPr="00853DB6">
              <w:rPr>
                <w:sz w:val="22"/>
                <w:szCs w:val="22"/>
              </w:rPr>
              <w:t>resources</w:t>
            </w:r>
            <w:r>
              <w:rPr>
                <w:sz w:val="22"/>
                <w:szCs w:val="22"/>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31D" w:rsidRPr="00853DB6" w:rsidRDefault="00AB34A2" w:rsidP="00A06300">
            <w:pPr>
              <w:pStyle w:val="TableRowCentered"/>
              <w:ind w:left="0"/>
              <w:jc w:val="left"/>
              <w:rPr>
                <w:sz w:val="22"/>
                <w:szCs w:val="22"/>
              </w:rPr>
            </w:pPr>
            <w:r>
              <w:rPr>
                <w:sz w:val="22"/>
                <w:szCs w:val="22"/>
              </w:rPr>
              <w:t>1, 5</w:t>
            </w:r>
          </w:p>
        </w:tc>
      </w:tr>
      <w:tr w:rsidR="00150E79"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79" w:rsidRPr="00853DB6" w:rsidRDefault="00150E79" w:rsidP="008C631D">
            <w:pPr>
              <w:pStyle w:val="TableRow"/>
              <w:ind w:left="0"/>
              <w:rPr>
                <w:sz w:val="22"/>
                <w:szCs w:val="22"/>
              </w:rPr>
            </w:pPr>
            <w:r w:rsidRPr="00853DB6">
              <w:rPr>
                <w:sz w:val="22"/>
                <w:szCs w:val="22"/>
              </w:rPr>
              <w:t>Ingredients bought for food tech for PP pupils.</w:t>
            </w:r>
          </w:p>
          <w:p w:rsidR="00150E79" w:rsidRPr="00853DB6" w:rsidRDefault="00150E79" w:rsidP="008C631D">
            <w:pPr>
              <w:pStyle w:val="TableRow"/>
              <w:ind w:left="0"/>
              <w:rPr>
                <w:sz w:val="22"/>
                <w:szCs w:val="22"/>
              </w:rPr>
            </w:pPr>
            <w:r w:rsidRPr="00853DB6">
              <w:rPr>
                <w:sz w:val="22"/>
                <w:szCs w:val="22"/>
              </w:rPr>
              <w:t>Peripatetic music lessons paid by academy for PP pupils.</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79" w:rsidRPr="00853DB6" w:rsidRDefault="00AB34A2" w:rsidP="008C631D">
            <w:pPr>
              <w:pStyle w:val="TableRowCentered"/>
              <w:jc w:val="left"/>
              <w:rPr>
                <w:sz w:val="22"/>
                <w:szCs w:val="22"/>
              </w:rPr>
            </w:pPr>
            <w:r>
              <w:rPr>
                <w:sz w:val="22"/>
                <w:szCs w:val="22"/>
              </w:rPr>
              <w:t>Our experience tells us that one of the biggest barriers for PP pupils in subjects such as catering and music is cost.  By offering subsidies where necessary, this barrier is reduce/eliminated.</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79" w:rsidRPr="00853DB6" w:rsidRDefault="00AB34A2" w:rsidP="008C631D">
            <w:pPr>
              <w:pStyle w:val="TableRowCentered"/>
              <w:jc w:val="left"/>
              <w:rPr>
                <w:sz w:val="22"/>
                <w:szCs w:val="22"/>
              </w:rPr>
            </w:pPr>
            <w:r>
              <w:rPr>
                <w:sz w:val="22"/>
                <w:szCs w:val="22"/>
              </w:rPr>
              <w:t>1, 5</w:t>
            </w:r>
          </w:p>
        </w:tc>
      </w:tr>
      <w:tr w:rsidR="005110B2" w:rsidRPr="00853DB6" w:rsidTr="00E63F01">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0B2" w:rsidRPr="00853DB6" w:rsidRDefault="005110B2" w:rsidP="005110B2">
            <w:pPr>
              <w:pStyle w:val="TableRow"/>
              <w:ind w:left="0"/>
              <w:rPr>
                <w:sz w:val="22"/>
                <w:szCs w:val="22"/>
              </w:rPr>
            </w:pPr>
            <w:r>
              <w:rPr>
                <w:sz w:val="22"/>
                <w:szCs w:val="22"/>
              </w:rPr>
              <w:t xml:space="preserve">Hardship fund for wider needs </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0B2" w:rsidRDefault="005110B2" w:rsidP="005110B2">
            <w:pPr>
              <w:pStyle w:val="TableRowCentered"/>
              <w:jc w:val="left"/>
              <w:rPr>
                <w:sz w:val="22"/>
                <w:szCs w:val="22"/>
              </w:rPr>
            </w:pPr>
            <w:r>
              <w:rPr>
                <w:sz w:val="22"/>
                <w:szCs w:val="22"/>
              </w:rPr>
              <w:t>This is flexible to allow us to respond to need on a short-term basis to remove potential barriers.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0B2" w:rsidRDefault="005110B2" w:rsidP="005110B2">
            <w:pPr>
              <w:pStyle w:val="TableRowCentered"/>
              <w:jc w:val="left"/>
              <w:rPr>
                <w:sz w:val="22"/>
                <w:szCs w:val="22"/>
              </w:rPr>
            </w:pPr>
            <w:r>
              <w:rPr>
                <w:sz w:val="22"/>
                <w:szCs w:val="22"/>
              </w:rPr>
              <w:t>5</w:t>
            </w:r>
          </w:p>
        </w:tc>
      </w:tr>
    </w:tbl>
    <w:p w:rsidR="00E66558" w:rsidRDefault="00E66558">
      <w:pPr>
        <w:spacing w:before="240" w:after="0"/>
        <w:rPr>
          <w:b/>
          <w:bCs/>
          <w:color w:val="104F75"/>
          <w:sz w:val="28"/>
          <w:szCs w:val="28"/>
        </w:rPr>
      </w:pPr>
    </w:p>
    <w:p w:rsidR="00E66558" w:rsidRDefault="009D71E8" w:rsidP="00120AB1">
      <w:r w:rsidRPr="00FB709A">
        <w:rPr>
          <w:b/>
          <w:bCs/>
          <w:color w:val="104F75"/>
          <w:sz w:val="28"/>
          <w:szCs w:val="28"/>
        </w:rPr>
        <w:t xml:space="preserve">Total budgeted cost: £ </w:t>
      </w:r>
      <w:r w:rsidR="005110B2">
        <w:rPr>
          <w:i/>
          <w:iCs/>
          <w:color w:val="104F75"/>
          <w:sz w:val="28"/>
          <w:szCs w:val="28"/>
        </w:rPr>
        <w:t>320,100.00</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p w:rsidR="00FD6A82" w:rsidRDefault="00FD59BE">
      <w:r w:rsidRPr="00FD59BE">
        <w:rPr>
          <w:b/>
          <w:noProof/>
        </w:rPr>
        <w:drawing>
          <wp:anchor distT="0" distB="0" distL="114300" distR="114300" simplePos="0" relativeHeight="251658240" behindDoc="0" locked="0" layoutInCell="1" allowOverlap="1" wp14:anchorId="66A1D905" wp14:editId="6A0F6FB4">
            <wp:simplePos x="0" y="0"/>
            <wp:positionH relativeFrom="margin">
              <wp:align>left</wp:align>
            </wp:positionH>
            <wp:positionV relativeFrom="paragraph">
              <wp:posOffset>290830</wp:posOffset>
            </wp:positionV>
            <wp:extent cx="6643370" cy="223647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5881" t="25863" r="18565" b="34887"/>
                    <a:stretch/>
                  </pic:blipFill>
                  <pic:spPr bwMode="auto">
                    <a:xfrm>
                      <a:off x="0" y="0"/>
                      <a:ext cx="6643370" cy="2236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A82" w:rsidRPr="00FD59BE">
        <w:rPr>
          <w:b/>
          <w:i/>
          <w:lang w:eastAsia="en-US"/>
        </w:rPr>
        <w:t>Standardised teacher administered tests</w:t>
      </w:r>
      <w:r w:rsidR="00FD6A82">
        <w:rPr>
          <w:i/>
          <w:lang w:eastAsia="en-US"/>
        </w:rPr>
        <w:t>:</w:t>
      </w:r>
    </w:p>
    <w:p w:rsidR="00BA68AF" w:rsidRDefault="00BA68AF">
      <w:pPr>
        <w:rPr>
          <w:sz w:val="8"/>
        </w:rPr>
      </w:pPr>
    </w:p>
    <w:p w:rsidR="00FD59BE" w:rsidRPr="00FD59BE" w:rsidRDefault="00FD59BE">
      <w:r>
        <w:rPr>
          <w:b/>
          <w:i/>
          <w:lang w:eastAsia="en-US"/>
        </w:rPr>
        <w:t xml:space="preserve">Other measures related to </w:t>
      </w:r>
      <w:r w:rsidRPr="00FD59BE">
        <w:rPr>
          <w:b/>
          <w:i/>
          <w:lang w:eastAsia="en-US"/>
        </w:rPr>
        <w:t>PP (&amp; wider disadvantage) Action Plan for lockdown period</w:t>
      </w:r>
      <w:r>
        <w:rPr>
          <w:b/>
          <w:i/>
          <w:lang w:eastAsia="en-US"/>
        </w:rPr>
        <w:t>:</w:t>
      </w:r>
    </w:p>
    <w:tbl>
      <w:tblPr>
        <w:tblStyle w:val="TableGrid"/>
        <w:tblW w:w="10349" w:type="dxa"/>
        <w:tblInd w:w="-5" w:type="dxa"/>
        <w:tblLook w:val="04A0" w:firstRow="1" w:lastRow="0" w:firstColumn="1" w:lastColumn="0" w:noHBand="0" w:noVBand="1"/>
      </w:tblPr>
      <w:tblGrid>
        <w:gridCol w:w="9214"/>
        <w:gridCol w:w="1135"/>
      </w:tblGrid>
      <w:tr w:rsidR="00FD6A82" w:rsidRPr="00FD6A82" w:rsidTr="0085085A">
        <w:tc>
          <w:tcPr>
            <w:tcW w:w="9214" w:type="dxa"/>
          </w:tcPr>
          <w:p w:rsidR="00FD6A82" w:rsidRPr="00FD6A82" w:rsidRDefault="00FD6A82">
            <w:pPr>
              <w:rPr>
                <w:sz w:val="20"/>
              </w:rPr>
            </w:pPr>
            <w:r w:rsidRPr="00FD6A82">
              <w:rPr>
                <w:sz w:val="20"/>
              </w:rPr>
              <w:t>Percentage of PP pupils provided with ICT device to enable access to learning</w:t>
            </w:r>
          </w:p>
        </w:tc>
        <w:tc>
          <w:tcPr>
            <w:tcW w:w="1135" w:type="dxa"/>
          </w:tcPr>
          <w:p w:rsidR="00FD6A82" w:rsidRPr="00FD6A82" w:rsidRDefault="00FD6A82">
            <w:pPr>
              <w:rPr>
                <w:sz w:val="20"/>
              </w:rPr>
            </w:pPr>
            <w:r w:rsidRPr="00FD6A82">
              <w:rPr>
                <w:sz w:val="20"/>
              </w:rPr>
              <w:t>100%</w:t>
            </w:r>
          </w:p>
        </w:tc>
      </w:tr>
      <w:tr w:rsidR="00FD6A82" w:rsidRPr="00FD6A82" w:rsidTr="0085085A">
        <w:tc>
          <w:tcPr>
            <w:tcW w:w="9214" w:type="dxa"/>
          </w:tcPr>
          <w:p w:rsidR="00FD6A82" w:rsidRPr="00FD6A82" w:rsidRDefault="00FD6A82">
            <w:pPr>
              <w:rPr>
                <w:sz w:val="20"/>
              </w:rPr>
            </w:pPr>
            <w:r w:rsidRPr="00FD6A82">
              <w:rPr>
                <w:sz w:val="20"/>
              </w:rPr>
              <w:t>Number of PP pupils</w:t>
            </w:r>
            <w:r w:rsidR="00FD59BE">
              <w:rPr>
                <w:sz w:val="20"/>
              </w:rPr>
              <w:t xml:space="preserve"> offered or</w:t>
            </w:r>
            <w:r w:rsidRPr="00FD6A82">
              <w:rPr>
                <w:sz w:val="20"/>
              </w:rPr>
              <w:t xml:space="preserve"> provided with </w:t>
            </w:r>
            <w:r w:rsidR="00FD59BE">
              <w:rPr>
                <w:sz w:val="20"/>
              </w:rPr>
              <w:t>free i</w:t>
            </w:r>
            <w:r w:rsidRPr="00FD6A82">
              <w:rPr>
                <w:sz w:val="20"/>
              </w:rPr>
              <w:t>nternet access to enable access to learning</w:t>
            </w:r>
          </w:p>
        </w:tc>
        <w:tc>
          <w:tcPr>
            <w:tcW w:w="1135" w:type="dxa"/>
          </w:tcPr>
          <w:p w:rsidR="00FD6A82" w:rsidRPr="00FD6A82" w:rsidRDefault="00FD59BE">
            <w:pPr>
              <w:rPr>
                <w:sz w:val="20"/>
              </w:rPr>
            </w:pPr>
            <w:r>
              <w:rPr>
                <w:sz w:val="20"/>
              </w:rPr>
              <w:t>100%</w:t>
            </w:r>
          </w:p>
        </w:tc>
      </w:tr>
      <w:tr w:rsidR="00FD59BE" w:rsidRPr="00FD6A82" w:rsidTr="0085085A">
        <w:tc>
          <w:tcPr>
            <w:tcW w:w="9214" w:type="dxa"/>
          </w:tcPr>
          <w:p w:rsidR="00FD59BE" w:rsidRPr="00FD6A82" w:rsidRDefault="00FD59BE" w:rsidP="00FD59BE">
            <w:pPr>
              <w:rPr>
                <w:sz w:val="20"/>
              </w:rPr>
            </w:pPr>
            <w:r>
              <w:rPr>
                <w:sz w:val="20"/>
              </w:rPr>
              <w:t xml:space="preserve">Percentage </w:t>
            </w:r>
            <w:r w:rsidRPr="00FD59BE">
              <w:rPr>
                <w:sz w:val="20"/>
              </w:rPr>
              <w:t xml:space="preserve">PP pupils receive at least 1 contact weekly (pastoral checks, attendance checks, </w:t>
            </w:r>
            <w:r>
              <w:rPr>
                <w:sz w:val="20"/>
              </w:rPr>
              <w:t>e</w:t>
            </w:r>
            <w:r w:rsidRPr="00FD59BE">
              <w:rPr>
                <w:sz w:val="20"/>
              </w:rPr>
              <w:t>ngagement checks)</w:t>
            </w:r>
            <w:r>
              <w:rPr>
                <w:sz w:val="20"/>
              </w:rPr>
              <w:t xml:space="preserve"> during lockdown</w:t>
            </w:r>
          </w:p>
        </w:tc>
        <w:tc>
          <w:tcPr>
            <w:tcW w:w="1135" w:type="dxa"/>
          </w:tcPr>
          <w:p w:rsidR="00FD59BE" w:rsidRDefault="00FD59BE">
            <w:pPr>
              <w:rPr>
                <w:sz w:val="20"/>
              </w:rPr>
            </w:pPr>
            <w:r>
              <w:rPr>
                <w:sz w:val="20"/>
              </w:rPr>
              <w:t>100%</w:t>
            </w:r>
          </w:p>
        </w:tc>
      </w:tr>
      <w:tr w:rsidR="00FD59BE" w:rsidRPr="00FD6A82" w:rsidTr="00027DAD">
        <w:tc>
          <w:tcPr>
            <w:tcW w:w="10349" w:type="dxa"/>
            <w:gridSpan w:val="2"/>
          </w:tcPr>
          <w:p w:rsidR="00FD59BE" w:rsidRDefault="00FD59BE">
            <w:pPr>
              <w:rPr>
                <w:sz w:val="20"/>
              </w:rPr>
            </w:pPr>
            <w:r>
              <w:rPr>
                <w:sz w:val="20"/>
              </w:rPr>
              <w:t>Vulnerable cohorts- needs based assessment for in school provision included PP groups</w:t>
            </w:r>
          </w:p>
        </w:tc>
      </w:tr>
      <w:tr w:rsidR="00FD6A82" w:rsidRPr="00FD6A82" w:rsidTr="0085085A">
        <w:tc>
          <w:tcPr>
            <w:tcW w:w="9214" w:type="dxa"/>
          </w:tcPr>
          <w:p w:rsidR="00FD6A82" w:rsidRPr="00FD6A82" w:rsidRDefault="00FD6A82">
            <w:pPr>
              <w:rPr>
                <w:sz w:val="20"/>
              </w:rPr>
            </w:pPr>
            <w:r w:rsidRPr="00FD6A82">
              <w:rPr>
                <w:sz w:val="20"/>
              </w:rPr>
              <w:t>Number of PP f</w:t>
            </w:r>
            <w:r w:rsidR="00086655">
              <w:rPr>
                <w:sz w:val="20"/>
              </w:rPr>
              <w:t>amilies accessed emergency</w:t>
            </w:r>
            <w:r w:rsidRPr="00FD6A82">
              <w:rPr>
                <w:sz w:val="20"/>
              </w:rPr>
              <w:t xml:space="preserve"> food parcel provision</w:t>
            </w:r>
          </w:p>
        </w:tc>
        <w:tc>
          <w:tcPr>
            <w:tcW w:w="1135" w:type="dxa"/>
          </w:tcPr>
          <w:p w:rsidR="00FD6A82" w:rsidRPr="00086655" w:rsidRDefault="00086655">
            <w:pPr>
              <w:rPr>
                <w:sz w:val="20"/>
              </w:rPr>
            </w:pPr>
            <w:r w:rsidRPr="00086655">
              <w:rPr>
                <w:sz w:val="20"/>
              </w:rPr>
              <w:t>155</w:t>
            </w:r>
          </w:p>
        </w:tc>
      </w:tr>
    </w:tbl>
    <w:p w:rsidR="00FD6A82" w:rsidRDefault="00FD6A82"/>
    <w:p w:rsidR="00FD6A82" w:rsidRDefault="00FD6A82"/>
    <w:tbl>
      <w:tblPr>
        <w:tblW w:w="10343" w:type="dxa"/>
        <w:tblCellMar>
          <w:left w:w="10" w:type="dxa"/>
          <w:right w:w="10" w:type="dxa"/>
        </w:tblCellMar>
        <w:tblLook w:val="04A0" w:firstRow="1" w:lastRow="0" w:firstColumn="1" w:lastColumn="0" w:noHBand="0" w:noVBand="1"/>
      </w:tblPr>
      <w:tblGrid>
        <w:gridCol w:w="10343"/>
      </w:tblGrid>
      <w:tr w:rsidR="00E66558" w:rsidTr="00027DAD">
        <w:trPr>
          <w:trHeight w:val="1102"/>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55" w:rsidRPr="00A50F03" w:rsidRDefault="00086655" w:rsidP="00086655">
            <w:pPr>
              <w:suppressAutoHyphens w:val="0"/>
              <w:autoSpaceDN/>
              <w:spacing w:before="120"/>
              <w:rPr>
                <w:color w:val="auto"/>
                <w:lang w:eastAsia="en-US"/>
              </w:rPr>
            </w:pPr>
            <w:r w:rsidRPr="00A50F03">
              <w:rPr>
                <w:color w:val="auto"/>
                <w:lang w:eastAsia="en-US"/>
              </w:rPr>
              <w:t>Our internal assessments during 2020/21 suggest</w:t>
            </w:r>
            <w:r w:rsidR="00E744CB">
              <w:rPr>
                <w:color w:val="auto"/>
                <w:lang w:eastAsia="en-US"/>
              </w:rPr>
              <w:t>s</w:t>
            </w:r>
            <w:r w:rsidRPr="00A50F03">
              <w:rPr>
                <w:color w:val="auto"/>
                <w:lang w:eastAsia="en-US"/>
              </w:rPr>
              <w:t xml:space="preserve"> that the performance of disadvantaged pupils </w:t>
            </w:r>
            <w:r w:rsidR="00E744CB">
              <w:rPr>
                <w:color w:val="auto"/>
                <w:lang w:eastAsia="en-US"/>
              </w:rPr>
              <w:t>has improved</w:t>
            </w:r>
            <w:r w:rsidR="00282F78">
              <w:rPr>
                <w:color w:val="auto"/>
                <w:lang w:eastAsia="en-US"/>
              </w:rPr>
              <w:t xml:space="preserve"> compared to previous 2 years (P8 score for disadvantaged pupils has improved by 0.64)</w:t>
            </w:r>
            <w:r w:rsidRPr="00A50F03">
              <w:rPr>
                <w:color w:val="auto"/>
                <w:lang w:eastAsia="en-US"/>
              </w:rPr>
              <w:t>.</w:t>
            </w:r>
            <w:r w:rsidR="00282F78">
              <w:rPr>
                <w:color w:val="auto"/>
                <w:lang w:eastAsia="en-US"/>
              </w:rPr>
              <w:t xml:space="preserve"> </w:t>
            </w:r>
            <w:r w:rsidRPr="00A50F03">
              <w:rPr>
                <w:color w:val="auto"/>
                <w:lang w:eastAsia="en-US"/>
              </w:rPr>
              <w:t xml:space="preserve">   </w:t>
            </w:r>
          </w:p>
          <w:p w:rsidR="00086655" w:rsidRPr="00A50F03" w:rsidRDefault="00282F78" w:rsidP="00086655">
            <w:pPr>
              <w:suppressAutoHyphens w:val="0"/>
              <w:autoSpaceDN/>
              <w:rPr>
                <w:color w:val="auto"/>
                <w:lang w:eastAsia="en-US"/>
              </w:rPr>
            </w:pPr>
            <w:r>
              <w:rPr>
                <w:color w:val="auto"/>
                <w:lang w:eastAsia="en-US"/>
              </w:rPr>
              <w:t xml:space="preserve">Attendance continues to be a focus area for disadvantaged pupils.  Last year’s attendance was severely affected by Covid-19 and although the attendance team and LPSOs prioritised the most vulnerable, made regular contact home with non-attendees to live lessons, </w:t>
            </w:r>
            <w:r w:rsidR="00490626">
              <w:rPr>
                <w:color w:val="auto"/>
                <w:lang w:eastAsia="en-US"/>
              </w:rPr>
              <w:t>and delivered over 150 emergency food parcels, disadvantaged pupil attendance still requires focus.</w:t>
            </w:r>
          </w:p>
          <w:p w:rsidR="00E66558" w:rsidRDefault="00086655" w:rsidP="00086655">
            <w:r w:rsidRPr="00A50F03">
              <w:rPr>
                <w:rStyle w:val="normaltextrun"/>
                <w:rFonts w:cs="Arial"/>
                <w:color w:val="auto"/>
              </w:rPr>
              <w:lastRenderedPageBreak/>
              <w:t xml:space="preserve">Our </w:t>
            </w:r>
            <w:r w:rsidR="001C296C">
              <w:rPr>
                <w:rStyle w:val="normaltextrun"/>
                <w:rFonts w:cs="Arial"/>
                <w:color w:val="auto"/>
              </w:rPr>
              <w:t>i</w:t>
            </w:r>
            <w:r w:rsidR="001C296C">
              <w:rPr>
                <w:rStyle w:val="normaltextrun"/>
                <w:rFonts w:cs="Arial"/>
              </w:rPr>
              <w:t>nternal data suggests that</w:t>
            </w:r>
            <w:r w:rsidRPr="00A50F03">
              <w:rPr>
                <w:rStyle w:val="normaltextrun"/>
                <w:rFonts w:cs="Arial"/>
                <w:color w:val="auto"/>
              </w:rPr>
              <w:t xml:space="preserve"> pupil </w:t>
            </w:r>
            <w:r w:rsidR="001C296C">
              <w:rPr>
                <w:rStyle w:val="normaltextrun"/>
                <w:rFonts w:cs="Arial"/>
                <w:color w:val="auto"/>
              </w:rPr>
              <w:t>l</w:t>
            </w:r>
            <w:r w:rsidR="001C296C">
              <w:rPr>
                <w:rStyle w:val="normaltextrun"/>
                <w:rFonts w:cs="Arial"/>
              </w:rPr>
              <w:t>earning</w:t>
            </w:r>
            <w:r w:rsidRPr="00A50F03">
              <w:rPr>
                <w:rStyle w:val="normaltextrun"/>
                <w:rFonts w:cs="Arial"/>
                <w:color w:val="auto"/>
              </w:rPr>
              <w:t>, wellbeing and mental</w:t>
            </w:r>
            <w:r w:rsidR="001C296C">
              <w:rPr>
                <w:rStyle w:val="normaltextrun"/>
                <w:rFonts w:cs="Arial"/>
                <w:color w:val="auto"/>
              </w:rPr>
              <w:t xml:space="preserve"> h</w:t>
            </w:r>
            <w:r w:rsidRPr="00A50F03">
              <w:rPr>
                <w:rStyle w:val="normaltextrun"/>
                <w:rFonts w:cs="Arial"/>
                <w:color w:val="auto"/>
              </w:rPr>
              <w:t>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in our new plan.</w:t>
            </w:r>
          </w:p>
        </w:tc>
      </w:tr>
    </w:tbl>
    <w:p w:rsidR="00E66558" w:rsidRDefault="009D71E8">
      <w:pPr>
        <w:pStyle w:val="Heading2"/>
        <w:spacing w:before="600"/>
      </w:pPr>
      <w:r>
        <w:lastRenderedPageBreak/>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103"/>
        <w:gridCol w:w="495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
            </w:pPr>
            <w:r>
              <w:t xml:space="preserve">GCSEpod online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4A96">
            <w:pPr>
              <w:pStyle w:val="TableRowCentered"/>
              <w:jc w:val="left"/>
            </w:pPr>
            <w:r>
              <w:t>GCSEpod</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86655" w:rsidRDefault="00086655">
            <w:pPr>
              <w:pStyle w:val="TableRow"/>
            </w:pPr>
            <w:r w:rsidRPr="00086655">
              <w:t>MU Foundation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D4A96" w:rsidRDefault="00086655">
            <w:pPr>
              <w:pStyle w:val="TableRowCentered"/>
              <w:jc w:val="left"/>
              <w:rPr>
                <w:highlight w:val="yellow"/>
              </w:rPr>
            </w:pPr>
            <w:r>
              <w:t>Manchester United Foundation</w:t>
            </w:r>
          </w:p>
        </w:tc>
      </w:tr>
    </w:tbl>
    <w:p w:rsidR="00E66558" w:rsidRDefault="009D71E8">
      <w:pPr>
        <w:pStyle w:val="Heading2"/>
        <w:spacing w:before="600"/>
      </w:pPr>
      <w:r>
        <w:t xml:space="preserve">Service pupil premium funding </w:t>
      </w:r>
    </w:p>
    <w:p w:rsidR="009038B7" w:rsidRPr="009038B7" w:rsidRDefault="009038B7" w:rsidP="009038B7">
      <w:pPr>
        <w:rPr>
          <w:i/>
          <w:iCs/>
          <w:sz w:val="20"/>
        </w:rPr>
      </w:pPr>
      <w:r w:rsidRPr="009038B7">
        <w:rPr>
          <w:i/>
          <w:iCs/>
          <w:sz w:val="20"/>
        </w:rPr>
        <w:t>Purpose of SPPG for service pupils:</w:t>
      </w:r>
    </w:p>
    <w:p w:rsidR="009038B7" w:rsidRPr="009038B7" w:rsidRDefault="009038B7" w:rsidP="009038B7">
      <w:pPr>
        <w:rPr>
          <w:i/>
          <w:iCs/>
          <w:sz w:val="20"/>
        </w:rPr>
      </w:pPr>
      <w:r w:rsidRPr="009038B7">
        <w:rPr>
          <w:i/>
          <w:iCs/>
          <w:sz w:val="20"/>
        </w:rPr>
        <w:t>Service children are not regarded as disadvantaged; their premium is allocated for pastoral support purposes. Eligible schools receive the SPPG so that they have the capacity to:</w:t>
      </w:r>
    </w:p>
    <w:p w:rsidR="009038B7" w:rsidRPr="009038B7" w:rsidRDefault="009038B7" w:rsidP="009038B7">
      <w:pPr>
        <w:pStyle w:val="ListParagraph"/>
        <w:numPr>
          <w:ilvl w:val="0"/>
          <w:numId w:val="15"/>
        </w:numPr>
        <w:rPr>
          <w:i/>
          <w:iCs/>
          <w:sz w:val="20"/>
        </w:rPr>
      </w:pPr>
      <w:r w:rsidRPr="009038B7">
        <w:rPr>
          <w:i/>
          <w:iCs/>
          <w:sz w:val="20"/>
        </w:rPr>
        <w:t>offer mainly pastoral support during challenging times [and]</w:t>
      </w:r>
    </w:p>
    <w:p w:rsidR="009038B7" w:rsidRPr="009038B7" w:rsidRDefault="009038B7" w:rsidP="009038B7">
      <w:pPr>
        <w:pStyle w:val="ListParagraph"/>
        <w:numPr>
          <w:ilvl w:val="0"/>
          <w:numId w:val="15"/>
        </w:numPr>
        <w:rPr>
          <w:i/>
          <w:iCs/>
          <w:sz w:val="20"/>
        </w:rPr>
      </w:pPr>
      <w:r w:rsidRPr="009038B7">
        <w:rPr>
          <w:i/>
          <w:iCs/>
          <w:sz w:val="20"/>
        </w:rPr>
        <w:t>help to mitigate the negative impact on service children of family mobility or parental deployment</w:t>
      </w:r>
    </w:p>
    <w:p w:rsidR="00E66558" w:rsidRPr="009038B7" w:rsidRDefault="009038B7" w:rsidP="009038B7">
      <w:pPr>
        <w:rPr>
          <w:i/>
          <w:iCs/>
          <w:sz w:val="20"/>
        </w:rPr>
      </w:pPr>
      <w:r w:rsidRPr="009038B7">
        <w:rPr>
          <w:i/>
          <w:iCs/>
          <w:sz w:val="20"/>
        </w:rPr>
        <w:t>In line with government guidance, the grant a school receives for each service child does not go directly to the individual child, but will be used to support all service children at the school, even if they were not on the school roll on census day.</w:t>
      </w:r>
    </w:p>
    <w:tbl>
      <w:tblPr>
        <w:tblW w:w="5000" w:type="pct"/>
        <w:tblCellMar>
          <w:left w:w="10" w:type="dxa"/>
          <w:right w:w="10" w:type="dxa"/>
        </w:tblCellMar>
        <w:tblLook w:val="04A0" w:firstRow="1" w:lastRow="0" w:firstColumn="1" w:lastColumn="0" w:noHBand="0" w:noVBand="1"/>
      </w:tblPr>
      <w:tblGrid>
        <w:gridCol w:w="1798"/>
        <w:gridCol w:w="8256"/>
      </w:tblGrid>
      <w:tr w:rsidR="00E66558" w:rsidTr="009038B7">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77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rsidTr="00F65829">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5829" w:rsidRDefault="009D71E8">
            <w:pPr>
              <w:pStyle w:val="TableRow"/>
              <w:rPr>
                <w:sz w:val="22"/>
              </w:rPr>
            </w:pPr>
            <w:r w:rsidRPr="00F65829">
              <w:rPr>
                <w:color w:val="000000"/>
                <w:sz w:val="22"/>
              </w:rPr>
              <w:t>How did you spend your service pupil premium allocation last academic year?</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8B7" w:rsidRPr="00F65829" w:rsidRDefault="009038B7">
            <w:pPr>
              <w:pStyle w:val="TableRowCentered"/>
              <w:jc w:val="left"/>
              <w:rPr>
                <w:sz w:val="22"/>
              </w:rPr>
            </w:pPr>
            <w:r w:rsidRPr="00F65829">
              <w:rPr>
                <w:sz w:val="22"/>
              </w:rPr>
              <w:t xml:space="preserve">All pupils in this cohort are monitored against a number of pastoral risk factors using a range of school systems such as CPOMs, the form tutor system, PASS survey. </w:t>
            </w:r>
          </w:p>
          <w:p w:rsidR="009038B7" w:rsidRPr="00F65829" w:rsidRDefault="009038B7">
            <w:pPr>
              <w:pStyle w:val="TableRowCentered"/>
              <w:jc w:val="left"/>
              <w:rPr>
                <w:sz w:val="22"/>
              </w:rPr>
            </w:pPr>
          </w:p>
          <w:p w:rsidR="009038B7" w:rsidRPr="00F65829" w:rsidRDefault="009038B7">
            <w:pPr>
              <w:pStyle w:val="TableRowCentered"/>
              <w:jc w:val="left"/>
              <w:rPr>
                <w:sz w:val="22"/>
              </w:rPr>
            </w:pPr>
            <w:r w:rsidRPr="00F65829">
              <w:rPr>
                <w:sz w:val="22"/>
              </w:rPr>
              <w:t>Then (based on school-identified need):</w:t>
            </w:r>
          </w:p>
          <w:p w:rsidR="009038B7" w:rsidRPr="00F65829" w:rsidRDefault="009038B7">
            <w:pPr>
              <w:pStyle w:val="TableRowCentered"/>
              <w:jc w:val="left"/>
              <w:rPr>
                <w:sz w:val="22"/>
              </w:rPr>
            </w:pPr>
          </w:p>
          <w:p w:rsidR="009038B7" w:rsidRPr="00F65829" w:rsidRDefault="009038B7" w:rsidP="009038B7">
            <w:pPr>
              <w:pStyle w:val="TableRowCentered"/>
              <w:jc w:val="left"/>
              <w:rPr>
                <w:sz w:val="22"/>
              </w:rPr>
            </w:pPr>
            <w:r w:rsidRPr="00F65829">
              <w:rPr>
                <w:sz w:val="22"/>
              </w:rPr>
              <w:t xml:space="preserve">1) “pastoral support during challenging times” - Access is available to additional bespoke pastoral support – e.g. fast access to mentoring or counselling for individuals if required. </w:t>
            </w:r>
          </w:p>
          <w:p w:rsidR="009038B7" w:rsidRPr="00F65829" w:rsidRDefault="009038B7" w:rsidP="009038B7">
            <w:pPr>
              <w:pStyle w:val="TableRowCentered"/>
              <w:jc w:val="left"/>
              <w:rPr>
                <w:sz w:val="22"/>
              </w:rPr>
            </w:pPr>
            <w:r w:rsidRPr="00F65829">
              <w:rPr>
                <w:sz w:val="22"/>
              </w:rPr>
              <w:t xml:space="preserve">2) “to help mitigate the negative impact on service children of family mobility or parental deployment” - Bespoke support to encourage or facilitate friendship and communication. - Mentoring or buddying system for new arrivals to support integration to the school community. </w:t>
            </w:r>
          </w:p>
          <w:p w:rsidR="009038B7" w:rsidRPr="00F65829" w:rsidRDefault="009038B7" w:rsidP="009038B7">
            <w:pPr>
              <w:pStyle w:val="TableRowCentered"/>
              <w:jc w:val="left"/>
              <w:rPr>
                <w:sz w:val="22"/>
              </w:rPr>
            </w:pPr>
          </w:p>
          <w:p w:rsidR="00E66558" w:rsidRDefault="009038B7" w:rsidP="009038B7">
            <w:pPr>
              <w:pStyle w:val="TableRowCentered"/>
              <w:jc w:val="left"/>
              <w:rPr>
                <w:sz w:val="22"/>
              </w:rPr>
            </w:pPr>
            <w:r w:rsidRPr="00F65829">
              <w:rPr>
                <w:sz w:val="22"/>
              </w:rPr>
              <w:lastRenderedPageBreak/>
              <w:t xml:space="preserve">In </w:t>
            </w:r>
            <w:r w:rsidR="00420415" w:rsidRPr="00F65829">
              <w:rPr>
                <w:sz w:val="22"/>
              </w:rPr>
              <w:t>addition,</w:t>
            </w:r>
            <w:r w:rsidRPr="00F65829">
              <w:rPr>
                <w:sz w:val="22"/>
              </w:rPr>
              <w:t xml:space="preserve"> Copley Academy seek to encourage positive attitudes towards the armed forces within the school community via: - Armed forces involvement in careers activities - Duke of Edinburgh / Cadets (currently suspended due to Covid</w:t>
            </w:r>
            <w:r w:rsidR="00F65829">
              <w:rPr>
                <w:sz w:val="22"/>
              </w:rPr>
              <w:t xml:space="preserve"> 19</w:t>
            </w:r>
            <w:r w:rsidR="00E744CB">
              <w:rPr>
                <w:sz w:val="22"/>
              </w:rPr>
              <w:t>)</w:t>
            </w:r>
            <w:r w:rsidRPr="00F65829">
              <w:rPr>
                <w:sz w:val="22"/>
              </w:rPr>
              <w:t>.</w:t>
            </w:r>
          </w:p>
          <w:p w:rsidR="00F65829" w:rsidRPr="00F65829" w:rsidRDefault="00F65829" w:rsidP="009038B7">
            <w:pPr>
              <w:pStyle w:val="TableRowCentered"/>
              <w:jc w:val="left"/>
              <w:rPr>
                <w:sz w:val="22"/>
              </w:rPr>
            </w:pPr>
          </w:p>
        </w:tc>
      </w:tr>
      <w:tr w:rsidR="00E66558" w:rsidTr="00F65829">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65829" w:rsidRDefault="009D71E8">
            <w:pPr>
              <w:pStyle w:val="TableRow"/>
              <w:rPr>
                <w:sz w:val="22"/>
              </w:rPr>
            </w:pPr>
            <w:r w:rsidRPr="00F65829">
              <w:rPr>
                <w:color w:val="000000"/>
                <w:sz w:val="22"/>
              </w:rPr>
              <w:lastRenderedPageBreak/>
              <w:t>What was the impact of that spending on service pupil premium eligible pupils?</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829" w:rsidRPr="00F65829" w:rsidRDefault="00F65829">
            <w:pPr>
              <w:pStyle w:val="TableRowCentered"/>
              <w:jc w:val="left"/>
              <w:rPr>
                <w:sz w:val="22"/>
              </w:rPr>
            </w:pPr>
            <w:r w:rsidRPr="00F65829">
              <w:rPr>
                <w:sz w:val="22"/>
              </w:rPr>
              <w:t>This cohort continued to be monitored via pastoral systems throughout the year</w:t>
            </w:r>
            <w:r>
              <w:rPr>
                <w:sz w:val="22"/>
              </w:rPr>
              <w:t xml:space="preserve"> as described above</w:t>
            </w:r>
            <w:r w:rsidRPr="00F65829">
              <w:rPr>
                <w:sz w:val="22"/>
              </w:rPr>
              <w:t>. Additional staffing capacity remained in place throughout the year (including through periods of lockdown) in order to be able to react quickly to any identified pastoral support need. Consideration was given to potential impact of lockdown in relation to attachment – bespoke arrangements were made to support individuals to remain engaged with peers virtually throughout periods of isolation where required.</w:t>
            </w:r>
          </w:p>
          <w:p w:rsidR="00E66558" w:rsidRPr="00F65829" w:rsidRDefault="00E66558">
            <w:pPr>
              <w:pStyle w:val="TableRowCentered"/>
              <w:jc w:val="left"/>
              <w:rPr>
                <w:sz w:val="22"/>
              </w:rPr>
            </w:pPr>
          </w:p>
        </w:tc>
      </w:tr>
      <w:bookmarkEnd w:id="15"/>
      <w:bookmarkEnd w:id="16"/>
      <w:bookmarkEnd w:id="17"/>
      <w:bookmarkEnd w:id="18"/>
    </w:tbl>
    <w:p w:rsidR="00E66558" w:rsidRDefault="00E66558"/>
    <w:sectPr w:rsidR="00E66558" w:rsidSect="00027DAD">
      <w:headerReference w:type="default" r:id="rId25"/>
      <w:footerReference w:type="default" r:id="rId26"/>
      <w:pgSz w:w="11906" w:h="16838"/>
      <w:pgMar w:top="1134" w:right="991" w:bottom="1134"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0F" w:rsidRDefault="0030130F">
      <w:pPr>
        <w:spacing w:after="0" w:line="240" w:lineRule="auto"/>
      </w:pPr>
      <w:r>
        <w:separator/>
      </w:r>
    </w:p>
  </w:endnote>
  <w:endnote w:type="continuationSeparator" w:id="0">
    <w:p w:rsidR="0030130F" w:rsidRDefault="0030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6C" w:rsidRDefault="00CE636C">
    <w:pPr>
      <w:pStyle w:val="Footer"/>
      <w:ind w:firstLine="4513"/>
    </w:pPr>
    <w:r>
      <w:fldChar w:fldCharType="begin"/>
    </w:r>
    <w:r>
      <w:instrText xml:space="preserve"> PAGE </w:instrText>
    </w:r>
    <w:r>
      <w:fldChar w:fldCharType="separate"/>
    </w:r>
    <w:r w:rsidR="00B436DA">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0F" w:rsidRDefault="0030130F">
      <w:pPr>
        <w:spacing w:after="0" w:line="240" w:lineRule="auto"/>
      </w:pPr>
      <w:r>
        <w:separator/>
      </w:r>
    </w:p>
  </w:footnote>
  <w:footnote w:type="continuationSeparator" w:id="0">
    <w:p w:rsidR="0030130F" w:rsidRDefault="0030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6C" w:rsidRDefault="00CE63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24B"/>
    <w:multiLevelType w:val="hybridMultilevel"/>
    <w:tmpl w:val="6B1A1D0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7270E26"/>
    <w:multiLevelType w:val="hybridMultilevel"/>
    <w:tmpl w:val="451E1A7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2" w15:restartNumberingAfterBreak="0">
    <w:nsid w:val="07527A9E"/>
    <w:multiLevelType w:val="hybridMultilevel"/>
    <w:tmpl w:val="B4BE79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4B68B7"/>
    <w:multiLevelType w:val="hybridMultilevel"/>
    <w:tmpl w:val="15A0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441CE"/>
    <w:multiLevelType w:val="hybridMultilevel"/>
    <w:tmpl w:val="74AC89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1E5E7D"/>
    <w:multiLevelType w:val="hybridMultilevel"/>
    <w:tmpl w:val="5DD419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6904C40"/>
    <w:multiLevelType w:val="hybridMultilevel"/>
    <w:tmpl w:val="6B3C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21E86"/>
    <w:multiLevelType w:val="hybridMultilevel"/>
    <w:tmpl w:val="787CA08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8311332"/>
    <w:multiLevelType w:val="hybridMultilevel"/>
    <w:tmpl w:val="6A2C96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420767F"/>
    <w:multiLevelType w:val="hybridMultilevel"/>
    <w:tmpl w:val="4FA4C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B67D45"/>
    <w:multiLevelType w:val="hybridMultilevel"/>
    <w:tmpl w:val="C698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DDB08C8"/>
    <w:multiLevelType w:val="hybridMultilevel"/>
    <w:tmpl w:val="16E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B4EF0"/>
    <w:multiLevelType w:val="hybridMultilevel"/>
    <w:tmpl w:val="20DE4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A72FEA"/>
    <w:multiLevelType w:val="hybridMultilevel"/>
    <w:tmpl w:val="B478EB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AD26892"/>
    <w:multiLevelType w:val="hybridMultilevel"/>
    <w:tmpl w:val="CE58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D621C"/>
    <w:multiLevelType w:val="hybridMultilevel"/>
    <w:tmpl w:val="0ECC1F7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15:restartNumberingAfterBreak="0">
    <w:nsid w:val="5E1D5BD0"/>
    <w:multiLevelType w:val="hybridMultilevel"/>
    <w:tmpl w:val="23C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B55398"/>
    <w:multiLevelType w:val="hybridMultilevel"/>
    <w:tmpl w:val="633A38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DE0F54"/>
    <w:multiLevelType w:val="hybridMultilevel"/>
    <w:tmpl w:val="87A8CE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72B556BE"/>
    <w:multiLevelType w:val="hybridMultilevel"/>
    <w:tmpl w:val="038EA9A6"/>
    <w:lvl w:ilvl="0" w:tplc="4F3C14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9"/>
  </w:num>
  <w:num w:numId="3">
    <w:abstractNumId w:val="12"/>
  </w:num>
  <w:num w:numId="4">
    <w:abstractNumId w:val="14"/>
  </w:num>
  <w:num w:numId="5">
    <w:abstractNumId w:val="5"/>
  </w:num>
  <w:num w:numId="6">
    <w:abstractNumId w:val="17"/>
  </w:num>
  <w:num w:numId="7">
    <w:abstractNumId w:val="26"/>
  </w:num>
  <w:num w:numId="8">
    <w:abstractNumId w:val="32"/>
  </w:num>
  <w:num w:numId="9">
    <w:abstractNumId w:val="28"/>
  </w:num>
  <w:num w:numId="10">
    <w:abstractNumId w:val="27"/>
  </w:num>
  <w:num w:numId="11">
    <w:abstractNumId w:val="10"/>
  </w:num>
  <w:num w:numId="12">
    <w:abstractNumId w:val="29"/>
  </w:num>
  <w:num w:numId="13">
    <w:abstractNumId w:val="24"/>
  </w:num>
  <w:num w:numId="14">
    <w:abstractNumId w:val="3"/>
  </w:num>
  <w:num w:numId="15">
    <w:abstractNumId w:val="31"/>
  </w:num>
  <w:num w:numId="16">
    <w:abstractNumId w:val="7"/>
  </w:num>
  <w:num w:numId="17">
    <w:abstractNumId w:val="23"/>
  </w:num>
  <w:num w:numId="18">
    <w:abstractNumId w:val="25"/>
  </w:num>
  <w:num w:numId="19">
    <w:abstractNumId w:val="30"/>
  </w:num>
  <w:num w:numId="20">
    <w:abstractNumId w:val="6"/>
  </w:num>
  <w:num w:numId="21">
    <w:abstractNumId w:val="22"/>
  </w:num>
  <w:num w:numId="22">
    <w:abstractNumId w:val="13"/>
  </w:num>
  <w:num w:numId="23">
    <w:abstractNumId w:val="21"/>
  </w:num>
  <w:num w:numId="24">
    <w:abstractNumId w:val="15"/>
  </w:num>
  <w:num w:numId="25">
    <w:abstractNumId w:val="8"/>
  </w:num>
  <w:num w:numId="26">
    <w:abstractNumId w:val="19"/>
  </w:num>
  <w:num w:numId="27">
    <w:abstractNumId w:val="18"/>
  </w:num>
  <w:num w:numId="28">
    <w:abstractNumId w:val="4"/>
  </w:num>
  <w:num w:numId="29">
    <w:abstractNumId w:val="2"/>
  </w:num>
  <w:num w:numId="30">
    <w:abstractNumId w:val="20"/>
  </w:num>
  <w:num w:numId="31">
    <w:abstractNumId w:val="16"/>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DAD"/>
    <w:rsid w:val="00035D35"/>
    <w:rsid w:val="000418EE"/>
    <w:rsid w:val="000462D0"/>
    <w:rsid w:val="00066B73"/>
    <w:rsid w:val="00086655"/>
    <w:rsid w:val="000B3585"/>
    <w:rsid w:val="000E0038"/>
    <w:rsid w:val="00116D21"/>
    <w:rsid w:val="00120AB1"/>
    <w:rsid w:val="00144721"/>
    <w:rsid w:val="00150E79"/>
    <w:rsid w:val="00155CC5"/>
    <w:rsid w:val="00173DB9"/>
    <w:rsid w:val="00187BB9"/>
    <w:rsid w:val="001C296C"/>
    <w:rsid w:val="001D3F99"/>
    <w:rsid w:val="001F39E1"/>
    <w:rsid w:val="001F4CFE"/>
    <w:rsid w:val="002210EC"/>
    <w:rsid w:val="00282F78"/>
    <w:rsid w:val="002B6351"/>
    <w:rsid w:val="002B71E4"/>
    <w:rsid w:val="002D569C"/>
    <w:rsid w:val="0030130F"/>
    <w:rsid w:val="00332E36"/>
    <w:rsid w:val="00334FB4"/>
    <w:rsid w:val="00362B14"/>
    <w:rsid w:val="00363884"/>
    <w:rsid w:val="00376220"/>
    <w:rsid w:val="003A1D10"/>
    <w:rsid w:val="003B2127"/>
    <w:rsid w:val="003D0745"/>
    <w:rsid w:val="003E3483"/>
    <w:rsid w:val="003E3CA4"/>
    <w:rsid w:val="003E3D1D"/>
    <w:rsid w:val="004017BD"/>
    <w:rsid w:val="004044AA"/>
    <w:rsid w:val="00420415"/>
    <w:rsid w:val="00456FA0"/>
    <w:rsid w:val="00485B2F"/>
    <w:rsid w:val="00490626"/>
    <w:rsid w:val="004B25A8"/>
    <w:rsid w:val="004E2F4C"/>
    <w:rsid w:val="005110B2"/>
    <w:rsid w:val="0054266F"/>
    <w:rsid w:val="005C3A6F"/>
    <w:rsid w:val="005D1678"/>
    <w:rsid w:val="005F1E6D"/>
    <w:rsid w:val="00621BD3"/>
    <w:rsid w:val="00621E95"/>
    <w:rsid w:val="0062586E"/>
    <w:rsid w:val="00651C10"/>
    <w:rsid w:val="006678F9"/>
    <w:rsid w:val="00676753"/>
    <w:rsid w:val="00677ACC"/>
    <w:rsid w:val="00697B90"/>
    <w:rsid w:val="006C6F39"/>
    <w:rsid w:val="006E7FB1"/>
    <w:rsid w:val="006F100C"/>
    <w:rsid w:val="006F7A26"/>
    <w:rsid w:val="007046AE"/>
    <w:rsid w:val="007134F4"/>
    <w:rsid w:val="00741B9E"/>
    <w:rsid w:val="007469F1"/>
    <w:rsid w:val="0075640C"/>
    <w:rsid w:val="00766283"/>
    <w:rsid w:val="007C034C"/>
    <w:rsid w:val="007C0924"/>
    <w:rsid w:val="007C2F04"/>
    <w:rsid w:val="007D0FA3"/>
    <w:rsid w:val="007E4C65"/>
    <w:rsid w:val="00847FAF"/>
    <w:rsid w:val="0085085A"/>
    <w:rsid w:val="00853DB6"/>
    <w:rsid w:val="008946AA"/>
    <w:rsid w:val="008B624C"/>
    <w:rsid w:val="008C631D"/>
    <w:rsid w:val="008C78AE"/>
    <w:rsid w:val="009038B7"/>
    <w:rsid w:val="0090502E"/>
    <w:rsid w:val="00923DD2"/>
    <w:rsid w:val="00926DAB"/>
    <w:rsid w:val="00931282"/>
    <w:rsid w:val="00944FCE"/>
    <w:rsid w:val="00953AC4"/>
    <w:rsid w:val="009559E0"/>
    <w:rsid w:val="00987E1A"/>
    <w:rsid w:val="009D4A96"/>
    <w:rsid w:val="009D5D65"/>
    <w:rsid w:val="009D71E8"/>
    <w:rsid w:val="009F2DA2"/>
    <w:rsid w:val="009F6DB0"/>
    <w:rsid w:val="009F7D70"/>
    <w:rsid w:val="00A06300"/>
    <w:rsid w:val="00A57E73"/>
    <w:rsid w:val="00A75708"/>
    <w:rsid w:val="00A87793"/>
    <w:rsid w:val="00A95D19"/>
    <w:rsid w:val="00AA3914"/>
    <w:rsid w:val="00AA7F1A"/>
    <w:rsid w:val="00AB34A2"/>
    <w:rsid w:val="00AC1610"/>
    <w:rsid w:val="00AC34A6"/>
    <w:rsid w:val="00B069A2"/>
    <w:rsid w:val="00B10C14"/>
    <w:rsid w:val="00B3638C"/>
    <w:rsid w:val="00B436DA"/>
    <w:rsid w:val="00B76154"/>
    <w:rsid w:val="00B83AA3"/>
    <w:rsid w:val="00BA68AF"/>
    <w:rsid w:val="00BE347E"/>
    <w:rsid w:val="00C10E1A"/>
    <w:rsid w:val="00C54B1F"/>
    <w:rsid w:val="00CB02FC"/>
    <w:rsid w:val="00CE636C"/>
    <w:rsid w:val="00D26727"/>
    <w:rsid w:val="00D33FE5"/>
    <w:rsid w:val="00D46E1D"/>
    <w:rsid w:val="00D8448B"/>
    <w:rsid w:val="00DE0B7B"/>
    <w:rsid w:val="00DF35BA"/>
    <w:rsid w:val="00E62629"/>
    <w:rsid w:val="00E63F01"/>
    <w:rsid w:val="00E66558"/>
    <w:rsid w:val="00E744CB"/>
    <w:rsid w:val="00E967B6"/>
    <w:rsid w:val="00EB050C"/>
    <w:rsid w:val="00EF3359"/>
    <w:rsid w:val="00EF5A98"/>
    <w:rsid w:val="00F076DF"/>
    <w:rsid w:val="00F34BAC"/>
    <w:rsid w:val="00F65829"/>
    <w:rsid w:val="00F83A80"/>
    <w:rsid w:val="00FB709A"/>
    <w:rsid w:val="00FC1811"/>
    <w:rsid w:val="00FC7051"/>
    <w:rsid w:val="00FD59BE"/>
    <w:rsid w:val="00FD6A82"/>
    <w:rsid w:val="00FF2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D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single">
    <w:name w:val="pull-single"/>
    <w:basedOn w:val="DefaultParagraphFont"/>
    <w:rsid w:val="00F83A80"/>
  </w:style>
  <w:style w:type="character" w:customStyle="1" w:styleId="normaltextrun">
    <w:name w:val="normaltextrun"/>
    <w:basedOn w:val="DefaultParagraphFont"/>
    <w:rsid w:val="0008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educationendowmentfoundation.org.uk/evidence-summaries/teaching-learning-toolkit/reading-comprehension-strategi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endowmentfoundation.org.uk/education-evidence/guidance-reports/supporting-parents?utm_source=/education-evidence/guidance-reports/supporting-parents&amp;utm_medium=search&amp;utm_campaign=site_search&amp;search_term=coaching"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metacognition-and-self-regulation" TargetMode="External"/><Relationship Id="rId17" Type="http://schemas.openxmlformats.org/officeDocument/2006/relationships/hyperlink" Target="https://educationendowmentfoundation.org.uk/education-evidence/teaching-learning-toolkit/individualised-instruc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hyperlink" Target="https://educationendowmentfoundation.org.uk/education-evidence/guidance-reports/behaviou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2tic4wvo1iusb.cloudfront.net/documents/guidance/Cognitive_science_approaches_in_the_classroom_-_A_review_of_the_evidence.pdf"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yperlink" Target="https://educationendowmentfoundation.org.uk/education-evidence/guidance-reports/behaviour" TargetMode="External"/><Relationship Id="rId28" Type="http://schemas.openxmlformats.org/officeDocument/2006/relationships/theme" Target="theme/theme1.xml"/><Relationship Id="rId10" Type="http://schemas.openxmlformats.org/officeDocument/2006/relationships/hyperlink" Target="https://educationendowmentfoundation.org.uk/education-evidence/guidance-reports/literacy-ks3-ks4" TargetMode="Externa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education-evidence/evidence-reviews/careers-education?utm_source=/education-evidence/evidence-reviews/careers-education&amp;utm_medium=search&amp;utm_campaign=site_search&amp;search_term=care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C9978B1B75F43A7E2AFB4BA81854E" ma:contentTypeVersion="13" ma:contentTypeDescription="Create a new document." ma:contentTypeScope="" ma:versionID="4ee76024f78b9e36dca81ba884b861e0">
  <xsd:schema xmlns:xsd="http://www.w3.org/2001/XMLSchema" xmlns:xs="http://www.w3.org/2001/XMLSchema" xmlns:p="http://schemas.microsoft.com/office/2006/metadata/properties" xmlns:ns3="c11d7573-2e79-43a6-83fe-d187d475da78" xmlns:ns4="7f865856-4c87-43c6-8203-94c832d9e564" targetNamespace="http://schemas.microsoft.com/office/2006/metadata/properties" ma:root="true" ma:fieldsID="6e8002e9dda9241328a19dac0a125801" ns3:_="" ns4:_="">
    <xsd:import namespace="c11d7573-2e79-43a6-83fe-d187d475da78"/>
    <xsd:import namespace="7f865856-4c87-43c6-8203-94c832d9e5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7573-2e79-43a6-83fe-d187d475d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65856-4c87-43c6-8203-94c832d9e5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F7B51-B9AB-4E4C-830D-182C3B84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7573-2e79-43a6-83fe-d187d475da78"/>
    <ds:schemaRef ds:uri="7f865856-4c87-43c6-8203-94c832d9e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DB70F-6309-4A53-AE39-7D3438151273}">
  <ds:schemaRefs>
    <ds:schemaRef ds:uri="http://schemas.microsoft.com/sharepoint/v3/contenttype/forms"/>
  </ds:schemaRefs>
</ds:datastoreItem>
</file>

<file path=customXml/itemProps3.xml><?xml version="1.0" encoding="utf-8"?>
<ds:datastoreItem xmlns:ds="http://schemas.openxmlformats.org/officeDocument/2006/customXml" ds:itemID="{398F5031-3B65-47B0-80A2-EA74765F0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 Connolly</cp:lastModifiedBy>
  <cp:revision>2</cp:revision>
  <cp:lastPrinted>2022-05-03T12:49:00Z</cp:lastPrinted>
  <dcterms:created xsi:type="dcterms:W3CDTF">2022-05-09T15:52:00Z</dcterms:created>
  <dcterms:modified xsi:type="dcterms:W3CDTF">2022-05-09T15:52:00Z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0x010100FB3C9978B1B75F43A7E2AFB4BA81854E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